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ACC" w:rsidRPr="00FD5ACC" w:rsidRDefault="00FD5ACC" w:rsidP="00FD5ACC">
      <w:pPr>
        <w:widowControl/>
        <w:spacing w:after="252"/>
        <w:outlineLvl w:val="0"/>
        <w:rPr>
          <w:rFonts w:ascii="Arial" w:eastAsia="新細明體" w:hAnsi="Arial" w:cs="Arial"/>
          <w:b/>
          <w:bCs/>
          <w:kern w:val="36"/>
          <w:sz w:val="48"/>
          <w:szCs w:val="48"/>
        </w:rPr>
      </w:pPr>
      <w:bookmarkStart w:id="0" w:name="_GoBack"/>
      <w:r w:rsidRPr="00FD5ACC">
        <w:rPr>
          <w:rFonts w:ascii="Arial" w:eastAsia="新細明體" w:hAnsi="Arial" w:cs="Arial"/>
          <w:b/>
          <w:bCs/>
          <w:kern w:val="36"/>
          <w:sz w:val="48"/>
          <w:szCs w:val="48"/>
        </w:rPr>
        <w:t>提升數學素養的後設認知教學策略</w:t>
      </w:r>
    </w:p>
    <w:bookmarkEnd w:id="0"/>
    <w:p w:rsidR="00FD5ACC" w:rsidRPr="00FD5ACC" w:rsidRDefault="00FD5ACC" w:rsidP="00FD5ACC">
      <w:pPr>
        <w:widowControl/>
        <w:shd w:val="clear" w:color="auto" w:fill="FFFFFF"/>
        <w:spacing w:after="420"/>
        <w:jc w:val="center"/>
        <w:rPr>
          <w:rFonts w:ascii="Georgia" w:eastAsia="新細明體" w:hAnsi="Georgia" w:cs="新細明體"/>
          <w:color w:val="1A1A1A"/>
          <w:kern w:val="0"/>
          <w:szCs w:val="24"/>
        </w:rPr>
      </w:pPr>
      <w:proofErr w:type="gramStart"/>
      <w:r w:rsidRPr="00FD5ACC">
        <w:rPr>
          <w:rFonts w:ascii="Georgia" w:eastAsia="新細明體" w:hAnsi="Georgia" w:cs="新細明體"/>
          <w:b/>
          <w:bCs/>
          <w:color w:val="1A1A1A"/>
          <w:kern w:val="0"/>
          <w:sz w:val="33"/>
          <w:szCs w:val="33"/>
        </w:rPr>
        <w:t>—</w:t>
      </w:r>
      <w:proofErr w:type="gramEnd"/>
      <w:r w:rsidRPr="00FD5ACC">
        <w:rPr>
          <w:rFonts w:ascii="Georgia" w:eastAsia="新細明體" w:hAnsi="Georgia" w:cs="新細明體"/>
          <w:b/>
          <w:bCs/>
          <w:color w:val="1A1A1A"/>
          <w:kern w:val="0"/>
          <w:sz w:val="33"/>
          <w:szCs w:val="33"/>
        </w:rPr>
        <w:t>讓後設認知贏在起跑點，從低年級開始做</w:t>
      </w:r>
    </w:p>
    <w:p w:rsidR="00FD5ACC" w:rsidRPr="00FD5ACC" w:rsidRDefault="00FD5ACC" w:rsidP="00FD5ACC">
      <w:pPr>
        <w:widowControl/>
        <w:shd w:val="clear" w:color="auto" w:fill="FFFFFF"/>
        <w:spacing w:after="420"/>
        <w:rPr>
          <w:rFonts w:ascii="Georgia" w:eastAsia="新細明體" w:hAnsi="Georgia" w:cs="新細明體"/>
          <w:color w:val="1A1A1A"/>
          <w:kern w:val="0"/>
          <w:szCs w:val="24"/>
        </w:rPr>
      </w:pPr>
      <w:r w:rsidRPr="00FD5ACC">
        <w:rPr>
          <w:rFonts w:ascii="Georgia" w:eastAsia="新細明體" w:hAnsi="Georgia" w:cs="新細明體"/>
          <w:color w:val="1A1A1A"/>
          <w:kern w:val="0"/>
          <w:szCs w:val="24"/>
        </w:rPr>
        <w:t> </w:t>
      </w:r>
      <w:r w:rsidRPr="00FD5ACC">
        <w:rPr>
          <w:rFonts w:ascii="Georgia" w:eastAsia="新細明體" w:hAnsi="Georgia" w:cs="新細明體"/>
          <w:color w:val="1A1A1A"/>
          <w:kern w:val="0"/>
          <w:sz w:val="21"/>
          <w:szCs w:val="21"/>
        </w:rPr>
        <w:t>文／林原宏（國立</w:t>
      </w:r>
      <w:proofErr w:type="gramStart"/>
      <w:r w:rsidRPr="00FD5ACC">
        <w:rPr>
          <w:rFonts w:ascii="Georgia" w:eastAsia="新細明體" w:hAnsi="Georgia" w:cs="新細明體"/>
          <w:color w:val="1A1A1A"/>
          <w:kern w:val="0"/>
          <w:sz w:val="21"/>
          <w:szCs w:val="21"/>
        </w:rPr>
        <w:t>臺</w:t>
      </w:r>
      <w:proofErr w:type="gramEnd"/>
      <w:r w:rsidRPr="00FD5ACC">
        <w:rPr>
          <w:rFonts w:ascii="Georgia" w:eastAsia="新細明體" w:hAnsi="Georgia" w:cs="新細明體"/>
          <w:color w:val="1A1A1A"/>
          <w:kern w:val="0"/>
          <w:sz w:val="21"/>
          <w:szCs w:val="21"/>
        </w:rPr>
        <w:t>中教育大學數學教育學系教授）</w:t>
      </w:r>
    </w:p>
    <w:p w:rsidR="00FD5ACC" w:rsidRPr="00FD5ACC" w:rsidRDefault="00FD5ACC" w:rsidP="00FD5ACC">
      <w:pPr>
        <w:widowControl/>
        <w:shd w:val="clear" w:color="auto" w:fill="FFFFFF"/>
        <w:spacing w:after="420"/>
        <w:rPr>
          <w:rFonts w:ascii="Georgia" w:eastAsia="新細明體" w:hAnsi="Georgia" w:cs="新細明體"/>
          <w:color w:val="1A1A1A"/>
          <w:kern w:val="0"/>
          <w:szCs w:val="24"/>
        </w:rPr>
      </w:pPr>
      <w:r w:rsidRPr="00FD5ACC">
        <w:rPr>
          <w:rFonts w:ascii="Georgia" w:eastAsia="新細明體" w:hAnsi="Georgia" w:cs="新細明體"/>
          <w:color w:val="1A1A1A"/>
          <w:kern w:val="0"/>
          <w:szCs w:val="24"/>
        </w:rPr>
        <w:t> </w:t>
      </w:r>
      <w:r w:rsidRPr="00FD5ACC">
        <w:rPr>
          <w:rFonts w:ascii="Georgia" w:eastAsia="新細明體" w:hAnsi="Georgia" w:cs="新細明體"/>
          <w:b/>
          <w:bCs/>
          <w:color w:val="1A1A1A"/>
          <w:kern w:val="0"/>
          <w:sz w:val="30"/>
          <w:szCs w:val="30"/>
        </w:rPr>
        <w:t>一、</w:t>
      </w:r>
      <w:proofErr w:type="gramStart"/>
      <w:r w:rsidRPr="00FD5ACC">
        <w:rPr>
          <w:rFonts w:ascii="Georgia" w:eastAsia="新細明體" w:hAnsi="Georgia" w:cs="新細明體"/>
          <w:b/>
          <w:bCs/>
          <w:color w:val="1A1A1A"/>
          <w:kern w:val="0"/>
          <w:sz w:val="30"/>
          <w:szCs w:val="30"/>
        </w:rPr>
        <w:t>造訪課綱中的</w:t>
      </w:r>
      <w:proofErr w:type="gramEnd"/>
      <w:r w:rsidRPr="00FD5ACC">
        <w:rPr>
          <w:rFonts w:ascii="Georgia" w:eastAsia="新細明體" w:hAnsi="Georgia" w:cs="新細明體"/>
          <w:b/>
          <w:bCs/>
          <w:color w:val="1A1A1A"/>
          <w:kern w:val="0"/>
          <w:sz w:val="30"/>
          <w:szCs w:val="30"/>
        </w:rPr>
        <w:t>數學素養</w:t>
      </w:r>
    </w:p>
    <w:p w:rsidR="00FD5ACC" w:rsidRPr="00FD5ACC" w:rsidRDefault="00FD5ACC" w:rsidP="00FD5ACC">
      <w:pPr>
        <w:widowControl/>
        <w:shd w:val="clear" w:color="auto" w:fill="FFFFFF"/>
        <w:spacing w:after="420"/>
        <w:rPr>
          <w:rFonts w:ascii="Georgia" w:eastAsia="新細明體" w:hAnsi="Georgia" w:cs="新細明體"/>
          <w:color w:val="1A1A1A"/>
          <w:kern w:val="0"/>
          <w:szCs w:val="24"/>
        </w:rPr>
      </w:pPr>
      <w:r w:rsidRPr="00FD5ACC">
        <w:rPr>
          <w:rFonts w:ascii="Georgia" w:eastAsia="新細明體" w:hAnsi="Georgia" w:cs="新細明體"/>
          <w:color w:val="1A1A1A"/>
          <w:kern w:val="0"/>
          <w:szCs w:val="24"/>
        </w:rPr>
        <w:t xml:space="preserve">　　</w:t>
      </w:r>
      <w:r w:rsidRPr="00FD5ACC">
        <w:rPr>
          <w:rFonts w:ascii="Georgia" w:eastAsia="新細明體" w:hAnsi="Georgia" w:cs="新細明體"/>
          <w:color w:val="1A1A1A"/>
          <w:kern w:val="0"/>
          <w:sz w:val="27"/>
          <w:szCs w:val="27"/>
        </w:rPr>
        <w:t>十二年國民基本教育課程即將於</w:t>
      </w:r>
      <w:r w:rsidRPr="00FD5ACC">
        <w:rPr>
          <w:rFonts w:ascii="Georgia" w:eastAsia="新細明體" w:hAnsi="Georgia" w:cs="新細明體"/>
          <w:color w:val="1A1A1A"/>
          <w:kern w:val="0"/>
          <w:sz w:val="27"/>
          <w:szCs w:val="27"/>
        </w:rPr>
        <w:t>108</w:t>
      </w:r>
      <w:r w:rsidRPr="00FD5ACC">
        <w:rPr>
          <w:rFonts w:ascii="Georgia" w:eastAsia="新細明體" w:hAnsi="Georgia" w:cs="新細明體"/>
          <w:color w:val="1A1A1A"/>
          <w:kern w:val="0"/>
          <w:sz w:val="27"/>
          <w:szCs w:val="27"/>
        </w:rPr>
        <w:t>學年度開始實施，而核心素養</w:t>
      </w:r>
      <w:proofErr w:type="gramStart"/>
      <w:r w:rsidRPr="00FD5ACC">
        <w:rPr>
          <w:rFonts w:ascii="Georgia" w:eastAsia="新細明體" w:hAnsi="Georgia" w:cs="新細明體"/>
          <w:color w:val="1A1A1A"/>
          <w:kern w:val="0"/>
          <w:sz w:val="27"/>
          <w:szCs w:val="27"/>
        </w:rPr>
        <w:t>的課綱內容</w:t>
      </w:r>
      <w:proofErr w:type="gramEnd"/>
      <w:r w:rsidRPr="00FD5ACC">
        <w:rPr>
          <w:rFonts w:ascii="Georgia" w:eastAsia="新細明體" w:hAnsi="Georgia" w:cs="新細明體"/>
          <w:color w:val="1A1A1A"/>
          <w:kern w:val="0"/>
          <w:sz w:val="27"/>
          <w:szCs w:val="27"/>
        </w:rPr>
        <w:t>是這次</w:t>
      </w:r>
      <w:proofErr w:type="gramStart"/>
      <w:r w:rsidRPr="00FD5ACC">
        <w:rPr>
          <w:rFonts w:ascii="Georgia" w:eastAsia="新細明體" w:hAnsi="Georgia" w:cs="新細明體"/>
          <w:color w:val="1A1A1A"/>
          <w:kern w:val="0"/>
          <w:sz w:val="27"/>
          <w:szCs w:val="27"/>
        </w:rPr>
        <w:t>新課綱</w:t>
      </w:r>
      <w:proofErr w:type="gramEnd"/>
      <w:r w:rsidRPr="00FD5ACC">
        <w:rPr>
          <w:rFonts w:ascii="Georgia" w:eastAsia="新細明體" w:hAnsi="Georgia" w:cs="新細明體"/>
          <w:color w:val="1A1A1A"/>
          <w:kern w:val="0"/>
          <w:sz w:val="27"/>
          <w:szCs w:val="27"/>
        </w:rPr>
        <w:t>的主軸。在總綱和數學</w:t>
      </w:r>
      <w:proofErr w:type="gramStart"/>
      <w:r w:rsidRPr="00FD5ACC">
        <w:rPr>
          <w:rFonts w:ascii="Georgia" w:eastAsia="新細明體" w:hAnsi="Georgia" w:cs="新細明體"/>
          <w:color w:val="1A1A1A"/>
          <w:kern w:val="0"/>
          <w:sz w:val="27"/>
          <w:szCs w:val="27"/>
        </w:rPr>
        <w:t>領域課綱內容</w:t>
      </w:r>
      <w:proofErr w:type="gramEnd"/>
      <w:r w:rsidRPr="00FD5ACC">
        <w:rPr>
          <w:rFonts w:ascii="Georgia" w:eastAsia="新細明體" w:hAnsi="Georgia" w:cs="新細明體"/>
          <w:color w:val="1A1A1A"/>
          <w:kern w:val="0"/>
          <w:sz w:val="27"/>
          <w:szCs w:val="27"/>
        </w:rPr>
        <w:t>中，我們可以發現和九年一貫課程有一項不同的點，是強調了後設認知（</w:t>
      </w:r>
      <w:r w:rsidRPr="00FD5ACC">
        <w:rPr>
          <w:rFonts w:ascii="Times New Roman" w:eastAsia="新細明體" w:hAnsi="Times New Roman" w:cs="Times New Roman"/>
          <w:i/>
          <w:iCs/>
          <w:color w:val="1A1A1A"/>
          <w:kern w:val="0"/>
          <w:sz w:val="27"/>
          <w:szCs w:val="27"/>
        </w:rPr>
        <w:t>meta-cognition</w:t>
      </w:r>
      <w:r w:rsidRPr="00FD5ACC">
        <w:rPr>
          <w:rFonts w:ascii="Georgia" w:eastAsia="新細明體" w:hAnsi="Georgia" w:cs="新細明體"/>
          <w:color w:val="1A1A1A"/>
          <w:kern w:val="0"/>
          <w:sz w:val="27"/>
          <w:szCs w:val="27"/>
        </w:rPr>
        <w:t>）教與學。因此，本文想先從數學素養的論述，說明數學後設認知的教與學，並從數學課本的實例中來加以闡述。</w:t>
      </w:r>
    </w:p>
    <w:p w:rsidR="00FD5ACC" w:rsidRPr="00FD5ACC" w:rsidRDefault="00FD5ACC" w:rsidP="00FD5ACC">
      <w:pPr>
        <w:widowControl/>
        <w:shd w:val="clear" w:color="auto" w:fill="FFFFFF"/>
        <w:spacing w:after="420"/>
        <w:jc w:val="center"/>
        <w:rPr>
          <w:rFonts w:ascii="Georgia" w:eastAsia="新細明體" w:hAnsi="Georgia" w:cs="新細明體"/>
          <w:color w:val="1A1A1A"/>
          <w:kern w:val="0"/>
          <w:szCs w:val="24"/>
        </w:rPr>
      </w:pPr>
      <w:r w:rsidRPr="00FD5ACC">
        <w:rPr>
          <w:rFonts w:ascii="Georgia" w:eastAsia="新細明體" w:hAnsi="Georgia" w:cs="新細明體"/>
          <w:noProof/>
          <w:color w:val="1A1A1A"/>
          <w:kern w:val="0"/>
          <w:szCs w:val="24"/>
        </w:rPr>
        <w:drawing>
          <wp:inline distT="0" distB="0" distL="0" distR="0" wp14:anchorId="6EC7D6EE" wp14:editId="038D5EA0">
            <wp:extent cx="2163373" cy="2050793"/>
            <wp:effectExtent l="0" t="0" r="8890" b="6985"/>
            <wp:docPr id="1" name="圖片 1" descr="https://material.hle.com.tw/wp-content/uploads/2020/02/01-1-%E6%A0%B8%E5%BF%83%E7%B4%A0%E9%A4%8A%E7%9A%84%E6%BB%BE%E5%8B%95%E5%9C%93%E8%BC%AA%E6%84%8F%E8%B1%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terial.hle.com.tw/wp-content/uploads/2020/02/01-1-%E6%A0%B8%E5%BF%83%E7%B4%A0%E9%A4%8A%E7%9A%84%E6%BB%BE%E5%8B%95%E5%9C%93%E8%BC%AA%E6%84%8F%E8%B1%A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69242" cy="2056356"/>
                    </a:xfrm>
                    <a:prstGeom prst="rect">
                      <a:avLst/>
                    </a:prstGeom>
                    <a:noFill/>
                    <a:ln>
                      <a:noFill/>
                    </a:ln>
                  </pic:spPr>
                </pic:pic>
              </a:graphicData>
            </a:graphic>
          </wp:inline>
        </w:drawing>
      </w:r>
    </w:p>
    <w:p w:rsidR="00FD5ACC" w:rsidRPr="00FD5ACC" w:rsidRDefault="00FD5ACC" w:rsidP="00FD5ACC">
      <w:pPr>
        <w:widowControl/>
        <w:shd w:val="clear" w:color="auto" w:fill="FFFFFF"/>
        <w:spacing w:after="420"/>
        <w:jc w:val="center"/>
        <w:rPr>
          <w:rFonts w:ascii="Georgia" w:eastAsia="新細明體" w:hAnsi="Georgia" w:cs="新細明體"/>
          <w:color w:val="1A1A1A"/>
          <w:kern w:val="0"/>
          <w:szCs w:val="24"/>
        </w:rPr>
      </w:pPr>
      <w:r w:rsidRPr="00FD5ACC">
        <w:rPr>
          <w:rFonts w:ascii="Georgia" w:eastAsia="新細明體" w:hAnsi="Georgia" w:cs="新細明體"/>
          <w:color w:val="1A1A1A"/>
          <w:kern w:val="0"/>
          <w:sz w:val="21"/>
          <w:szCs w:val="21"/>
        </w:rPr>
        <w:t>圖</w:t>
      </w:r>
      <w:r w:rsidRPr="00FD5ACC">
        <w:rPr>
          <w:rFonts w:ascii="Georgia" w:eastAsia="新細明體" w:hAnsi="Georgia" w:cs="新細明體"/>
          <w:color w:val="1A1A1A"/>
          <w:kern w:val="0"/>
          <w:sz w:val="21"/>
          <w:szCs w:val="21"/>
        </w:rPr>
        <w:t>1</w:t>
      </w:r>
      <w:r w:rsidRPr="00FD5ACC">
        <w:rPr>
          <w:rFonts w:ascii="Georgia" w:eastAsia="新細明體" w:hAnsi="Georgia" w:cs="新細明體"/>
          <w:color w:val="1A1A1A"/>
          <w:kern w:val="0"/>
          <w:sz w:val="21"/>
          <w:szCs w:val="21"/>
        </w:rPr>
        <w:t>：核心素養的滾動圓輪意象</w:t>
      </w:r>
    </w:p>
    <w:p w:rsidR="00FD5ACC" w:rsidRPr="00FD5ACC" w:rsidRDefault="00FD5ACC" w:rsidP="00FD5ACC">
      <w:pPr>
        <w:widowControl/>
        <w:shd w:val="clear" w:color="auto" w:fill="FFFFFF"/>
        <w:spacing w:after="420"/>
        <w:jc w:val="center"/>
        <w:rPr>
          <w:rFonts w:ascii="Georgia" w:eastAsia="新細明體" w:hAnsi="Georgia" w:cs="新細明體"/>
          <w:color w:val="1A1A1A"/>
          <w:kern w:val="0"/>
          <w:szCs w:val="24"/>
        </w:rPr>
      </w:pPr>
      <w:r w:rsidRPr="00FD5ACC">
        <w:rPr>
          <w:rFonts w:ascii="Georgia" w:eastAsia="新細明體" w:hAnsi="Georgia" w:cs="新細明體"/>
          <w:color w:val="1A1A1A"/>
          <w:kern w:val="0"/>
          <w:szCs w:val="24"/>
        </w:rPr>
        <w:t> </w:t>
      </w:r>
    </w:p>
    <w:p w:rsidR="00FD5ACC" w:rsidRPr="00FD5ACC" w:rsidRDefault="00FD5ACC" w:rsidP="00FD5ACC">
      <w:pPr>
        <w:widowControl/>
        <w:shd w:val="clear" w:color="auto" w:fill="FFFFFF"/>
        <w:spacing w:after="420"/>
        <w:rPr>
          <w:rFonts w:ascii="Georgia" w:eastAsia="新細明體" w:hAnsi="Georgia" w:cs="新細明體"/>
          <w:color w:val="1A1A1A"/>
          <w:kern w:val="0"/>
          <w:szCs w:val="24"/>
        </w:rPr>
      </w:pPr>
      <w:r w:rsidRPr="00FD5ACC">
        <w:rPr>
          <w:rFonts w:ascii="Georgia" w:eastAsia="新細明體" w:hAnsi="Georgia" w:cs="新細明體"/>
          <w:color w:val="1A1A1A"/>
          <w:kern w:val="0"/>
          <w:szCs w:val="24"/>
        </w:rPr>
        <w:t xml:space="preserve">　　</w:t>
      </w:r>
      <w:r w:rsidRPr="00FD5ACC">
        <w:rPr>
          <w:rFonts w:ascii="Georgia" w:eastAsia="新細明體" w:hAnsi="Georgia" w:cs="新細明體"/>
          <w:color w:val="1A1A1A"/>
          <w:kern w:val="0"/>
          <w:sz w:val="27"/>
          <w:szCs w:val="27"/>
        </w:rPr>
        <w:t>十二年國民基本教育課程以「核心素養」做為課程發展之主軸，「核心素養」是指一個人為適應現在生活及面對未來挑戰，所應具備的知識、能力與態度。十二年國</w:t>
      </w:r>
      <w:proofErr w:type="gramStart"/>
      <w:r w:rsidRPr="00FD5ACC">
        <w:rPr>
          <w:rFonts w:ascii="Georgia" w:eastAsia="新細明體" w:hAnsi="Georgia" w:cs="新細明體"/>
          <w:color w:val="1A1A1A"/>
          <w:kern w:val="0"/>
          <w:sz w:val="27"/>
          <w:szCs w:val="27"/>
        </w:rPr>
        <w:t>教課綱以</w:t>
      </w:r>
      <w:proofErr w:type="gramEnd"/>
      <w:r w:rsidRPr="00FD5ACC">
        <w:rPr>
          <w:rFonts w:ascii="Georgia" w:eastAsia="新細明體" w:hAnsi="Georgia" w:cs="新細明體"/>
          <w:color w:val="1A1A1A"/>
          <w:kern w:val="0"/>
          <w:sz w:val="27"/>
          <w:szCs w:val="27"/>
        </w:rPr>
        <w:t>圖</w:t>
      </w:r>
      <w:r w:rsidRPr="00FD5ACC">
        <w:rPr>
          <w:rFonts w:ascii="Georgia" w:eastAsia="新細明體" w:hAnsi="Georgia" w:cs="新細明體"/>
          <w:color w:val="1A1A1A"/>
          <w:kern w:val="0"/>
          <w:sz w:val="27"/>
          <w:szCs w:val="27"/>
        </w:rPr>
        <w:t>1</w:t>
      </w:r>
      <w:r w:rsidRPr="00FD5ACC">
        <w:rPr>
          <w:rFonts w:ascii="Georgia" w:eastAsia="新細明體" w:hAnsi="Georgia" w:cs="新細明體"/>
          <w:color w:val="1A1A1A"/>
          <w:kern w:val="0"/>
          <w:sz w:val="27"/>
          <w:szCs w:val="27"/>
        </w:rPr>
        <w:t>的九大核心素養面向滾動圓輪意象來詮釋核心素養的意涵。所以簡而言之，數學素養是數學的知識、能力與態度在生活中的展現。</w:t>
      </w:r>
    </w:p>
    <w:p w:rsidR="00FD5ACC" w:rsidRPr="00FD5ACC" w:rsidRDefault="00FD5ACC" w:rsidP="00FD5ACC">
      <w:pPr>
        <w:widowControl/>
        <w:shd w:val="clear" w:color="auto" w:fill="FFFFFF"/>
        <w:spacing w:after="420"/>
        <w:rPr>
          <w:rFonts w:ascii="Georgia" w:eastAsia="新細明體" w:hAnsi="Georgia" w:cs="新細明體"/>
          <w:color w:val="1A1A1A"/>
          <w:kern w:val="0"/>
          <w:szCs w:val="24"/>
        </w:rPr>
      </w:pPr>
      <w:r w:rsidRPr="00FD5ACC">
        <w:rPr>
          <w:rFonts w:ascii="Georgia" w:eastAsia="新細明體" w:hAnsi="Georgia" w:cs="新細明體"/>
          <w:color w:val="1A1A1A"/>
          <w:kern w:val="0"/>
          <w:szCs w:val="24"/>
        </w:rPr>
        <w:lastRenderedPageBreak/>
        <w:t xml:space="preserve">　　</w:t>
      </w:r>
      <w:r w:rsidRPr="00FD5ACC">
        <w:rPr>
          <w:rFonts w:ascii="Georgia" w:eastAsia="新細明體" w:hAnsi="Georgia" w:cs="新細明體"/>
          <w:color w:val="1A1A1A"/>
          <w:kern w:val="0"/>
          <w:sz w:val="27"/>
          <w:szCs w:val="27"/>
        </w:rPr>
        <w:t>總綱的九大核心素養面向對應至各學習階段的數學領域核心素養具體內涵，以總綱核心素養「</w:t>
      </w:r>
      <w:r w:rsidRPr="00FD5ACC">
        <w:rPr>
          <w:rFonts w:ascii="Times New Roman" w:eastAsia="新細明體" w:hAnsi="Times New Roman" w:cs="Times New Roman"/>
          <w:i/>
          <w:iCs/>
          <w:color w:val="1A1A1A"/>
          <w:kern w:val="0"/>
          <w:sz w:val="27"/>
          <w:szCs w:val="27"/>
        </w:rPr>
        <w:t>A</w:t>
      </w:r>
      <w:r w:rsidRPr="00FD5ACC">
        <w:rPr>
          <w:rFonts w:ascii="Times New Roman" w:eastAsia="新細明體" w:hAnsi="Times New Roman" w:cs="Times New Roman"/>
          <w:color w:val="1A1A1A"/>
          <w:kern w:val="0"/>
          <w:sz w:val="27"/>
          <w:szCs w:val="27"/>
        </w:rPr>
        <w:t>2</w:t>
      </w:r>
      <w:r w:rsidRPr="00FD5ACC">
        <w:rPr>
          <w:rFonts w:ascii="Georgia" w:eastAsia="新細明體" w:hAnsi="Georgia" w:cs="新細明體"/>
          <w:color w:val="1A1A1A"/>
          <w:kern w:val="0"/>
          <w:sz w:val="27"/>
          <w:szCs w:val="27"/>
        </w:rPr>
        <w:t>系統思考與解決問題」為例，其意義是「具備問題理解、思辨分析、推理批判的系統思考與後設思考素養，並能行動與反思，以有效處理及解決生活、生命問題。」。其中，後設思考素養被認為是數學素養的一部分。</w:t>
      </w:r>
    </w:p>
    <w:p w:rsidR="00FD5ACC" w:rsidRPr="00FD5ACC" w:rsidRDefault="00FD5ACC" w:rsidP="00FD5ACC">
      <w:pPr>
        <w:widowControl/>
        <w:shd w:val="clear" w:color="auto" w:fill="FFFFFF"/>
        <w:spacing w:after="420"/>
        <w:rPr>
          <w:rFonts w:ascii="Georgia" w:eastAsia="新細明體" w:hAnsi="Georgia" w:cs="新細明體"/>
          <w:color w:val="1A1A1A"/>
          <w:kern w:val="0"/>
          <w:szCs w:val="24"/>
        </w:rPr>
      </w:pPr>
      <w:r w:rsidRPr="00FD5ACC">
        <w:rPr>
          <w:rFonts w:ascii="Georgia" w:eastAsia="新細明體" w:hAnsi="Georgia" w:cs="新細明體"/>
          <w:b/>
          <w:bCs/>
          <w:color w:val="1A1A1A"/>
          <w:kern w:val="0"/>
          <w:szCs w:val="24"/>
        </w:rPr>
        <w:t> </w:t>
      </w:r>
      <w:r w:rsidRPr="00FD5ACC">
        <w:rPr>
          <w:rFonts w:ascii="Georgia" w:eastAsia="新細明體" w:hAnsi="Georgia" w:cs="新細明體"/>
          <w:b/>
          <w:bCs/>
          <w:color w:val="1A1A1A"/>
          <w:kern w:val="0"/>
          <w:sz w:val="30"/>
          <w:szCs w:val="30"/>
        </w:rPr>
        <w:t>二、後設認知知識與策略</w:t>
      </w:r>
    </w:p>
    <w:p w:rsidR="00FD5ACC" w:rsidRPr="00FD5ACC" w:rsidRDefault="00FD5ACC" w:rsidP="00FD5ACC">
      <w:pPr>
        <w:widowControl/>
        <w:shd w:val="clear" w:color="auto" w:fill="FFFFFF"/>
        <w:spacing w:after="420"/>
        <w:rPr>
          <w:rFonts w:ascii="Georgia" w:eastAsia="新細明體" w:hAnsi="Georgia" w:cs="新細明體"/>
          <w:color w:val="1A1A1A"/>
          <w:kern w:val="0"/>
          <w:szCs w:val="24"/>
        </w:rPr>
      </w:pPr>
      <w:r w:rsidRPr="00FD5ACC">
        <w:rPr>
          <w:rFonts w:ascii="Georgia" w:eastAsia="新細明體" w:hAnsi="Georgia" w:cs="新細明體"/>
          <w:color w:val="1A1A1A"/>
          <w:kern w:val="0"/>
          <w:szCs w:val="24"/>
        </w:rPr>
        <w:t xml:space="preserve">　　</w:t>
      </w:r>
      <w:r w:rsidRPr="00FD5ACC">
        <w:rPr>
          <w:rFonts w:ascii="Georgia" w:eastAsia="新細明體" w:hAnsi="Georgia" w:cs="新細明體"/>
          <w:color w:val="1A1A1A"/>
          <w:kern w:val="0"/>
          <w:sz w:val="27"/>
          <w:szCs w:val="27"/>
        </w:rPr>
        <w:t>在十二年國民基本教育課程綱要總綱裡，有關教學實施的教學模式與策略中，指出「教師應引導學生學習如何學習，包括動機策略、一般性學習策略、學習策略、思考策略，以及後設認知策略等。」</w:t>
      </w:r>
      <w:proofErr w:type="gramStart"/>
      <w:r w:rsidRPr="00FD5ACC">
        <w:rPr>
          <w:rFonts w:ascii="Georgia" w:eastAsia="新細明體" w:hAnsi="Georgia" w:cs="新細明體"/>
          <w:color w:val="1A1A1A"/>
          <w:kern w:val="0"/>
          <w:sz w:val="27"/>
          <w:szCs w:val="27"/>
        </w:rPr>
        <w:t>（</w:t>
      </w:r>
      <w:proofErr w:type="gramEnd"/>
      <w:r w:rsidRPr="00FD5ACC">
        <w:rPr>
          <w:rFonts w:ascii="Georgia" w:eastAsia="新細明體" w:hAnsi="Georgia" w:cs="新細明體"/>
          <w:color w:val="1A1A1A"/>
          <w:kern w:val="0"/>
          <w:sz w:val="27"/>
          <w:szCs w:val="27"/>
        </w:rPr>
        <w:t>十二年國民基本教育課程綱要總綱，</w:t>
      </w:r>
      <w:r w:rsidRPr="00FD5ACC">
        <w:rPr>
          <w:rFonts w:ascii="Times New Roman" w:eastAsia="新細明體" w:hAnsi="Times New Roman" w:cs="Times New Roman"/>
          <w:i/>
          <w:iCs/>
          <w:color w:val="1A1A1A"/>
          <w:kern w:val="0"/>
          <w:sz w:val="27"/>
          <w:szCs w:val="27"/>
        </w:rPr>
        <w:t>P</w:t>
      </w:r>
      <w:r w:rsidRPr="00FD5ACC">
        <w:rPr>
          <w:rFonts w:ascii="Georgia" w:eastAsia="新細明體" w:hAnsi="Georgia" w:cs="新細明體"/>
          <w:color w:val="1A1A1A"/>
          <w:kern w:val="0"/>
          <w:sz w:val="27"/>
          <w:szCs w:val="27"/>
        </w:rPr>
        <w:t>.33</w:t>
      </w:r>
      <w:proofErr w:type="gramStart"/>
      <w:r w:rsidRPr="00FD5ACC">
        <w:rPr>
          <w:rFonts w:ascii="Georgia" w:eastAsia="新細明體" w:hAnsi="Georgia" w:cs="新細明體"/>
          <w:color w:val="1A1A1A"/>
          <w:kern w:val="0"/>
          <w:sz w:val="27"/>
          <w:szCs w:val="27"/>
        </w:rPr>
        <w:t>）</w:t>
      </w:r>
      <w:proofErr w:type="gramEnd"/>
      <w:r w:rsidRPr="00FD5ACC">
        <w:rPr>
          <w:rFonts w:ascii="Georgia" w:eastAsia="新細明體" w:hAnsi="Georgia" w:cs="新細明體"/>
          <w:color w:val="1A1A1A"/>
          <w:kern w:val="0"/>
          <w:sz w:val="27"/>
          <w:szCs w:val="27"/>
        </w:rPr>
        <w:t>。同時也指出數學學習重點由「學習表現」和「學習內容」所組成，「學習表現」是以學生為中心，重視認知、情意態度與生活應用的學習展現，代表「非內容」向度，具體展現或呼應核心素養。而「學習內容」涵蓋數學基礎重要的事實、概念、原理原則、技能與後設認知等知識。綜合以上十二年國</w:t>
      </w:r>
      <w:proofErr w:type="gramStart"/>
      <w:r w:rsidRPr="00FD5ACC">
        <w:rPr>
          <w:rFonts w:ascii="Georgia" w:eastAsia="新細明體" w:hAnsi="Georgia" w:cs="新細明體"/>
          <w:color w:val="1A1A1A"/>
          <w:kern w:val="0"/>
          <w:sz w:val="27"/>
          <w:szCs w:val="27"/>
        </w:rPr>
        <w:t>教課綱</w:t>
      </w:r>
      <w:proofErr w:type="gramEnd"/>
      <w:r w:rsidRPr="00FD5ACC">
        <w:rPr>
          <w:rFonts w:ascii="Georgia" w:eastAsia="新細明體" w:hAnsi="Georgia" w:cs="新細明體"/>
          <w:color w:val="1A1A1A"/>
          <w:kern w:val="0"/>
          <w:sz w:val="27"/>
          <w:szCs w:val="27"/>
        </w:rPr>
        <w:t>的論述以及國內外文獻，都可以看到後設認知是數學素養的成分之</w:t>
      </w:r>
      <w:proofErr w:type="gramStart"/>
      <w:r w:rsidRPr="00FD5ACC">
        <w:rPr>
          <w:rFonts w:ascii="Georgia" w:eastAsia="新細明體" w:hAnsi="Georgia" w:cs="新細明體"/>
          <w:color w:val="1A1A1A"/>
          <w:kern w:val="0"/>
          <w:sz w:val="27"/>
          <w:szCs w:val="27"/>
        </w:rPr>
        <w:t>一</w:t>
      </w:r>
      <w:proofErr w:type="gramEnd"/>
      <w:r w:rsidRPr="00FD5ACC">
        <w:rPr>
          <w:rFonts w:ascii="Georgia" w:eastAsia="新細明體" w:hAnsi="Georgia" w:cs="新細明體"/>
          <w:color w:val="1A1A1A"/>
          <w:kern w:val="0"/>
          <w:sz w:val="27"/>
          <w:szCs w:val="27"/>
        </w:rPr>
        <w:t>。所謂後設認知後設，是指個人對自己的認知歷程和結果，能進行掌握、監控、支配和評鑑的一種知識和策略。後設認知包含了後設認知知識（</w:t>
      </w:r>
      <w:r w:rsidRPr="00FD5ACC">
        <w:rPr>
          <w:rFonts w:ascii="Times New Roman" w:eastAsia="新細明體" w:hAnsi="Times New Roman" w:cs="Times New Roman"/>
          <w:i/>
          <w:iCs/>
          <w:color w:val="1A1A1A"/>
          <w:kern w:val="0"/>
          <w:sz w:val="27"/>
          <w:szCs w:val="27"/>
        </w:rPr>
        <w:t>knowledge of metacognition</w:t>
      </w:r>
      <w:r w:rsidRPr="00FD5ACC">
        <w:rPr>
          <w:rFonts w:ascii="Georgia" w:eastAsia="新細明體" w:hAnsi="Georgia" w:cs="新細明體"/>
          <w:color w:val="1A1A1A"/>
          <w:kern w:val="0"/>
          <w:sz w:val="27"/>
          <w:szCs w:val="27"/>
        </w:rPr>
        <w:t>）和後設認知策略</w:t>
      </w:r>
      <w:proofErr w:type="gramStart"/>
      <w:r w:rsidRPr="00FD5ACC">
        <w:rPr>
          <w:rFonts w:ascii="Georgia" w:eastAsia="新細明體" w:hAnsi="Georgia" w:cs="新細明體"/>
          <w:color w:val="1A1A1A"/>
          <w:kern w:val="0"/>
          <w:sz w:val="27"/>
          <w:szCs w:val="27"/>
        </w:rPr>
        <w:t>（</w:t>
      </w:r>
      <w:proofErr w:type="gramEnd"/>
      <w:r w:rsidRPr="00FD5ACC">
        <w:rPr>
          <w:rFonts w:ascii="Times New Roman" w:eastAsia="新細明體" w:hAnsi="Times New Roman" w:cs="Times New Roman"/>
          <w:i/>
          <w:iCs/>
          <w:color w:val="1A1A1A"/>
          <w:kern w:val="0"/>
          <w:sz w:val="27"/>
          <w:szCs w:val="27"/>
        </w:rPr>
        <w:t>strategy of metacognition</w:t>
      </w:r>
      <w:r w:rsidRPr="00FD5ACC">
        <w:rPr>
          <w:rFonts w:ascii="Georgia" w:eastAsia="新細明體" w:hAnsi="Georgia" w:cs="新細明體"/>
          <w:color w:val="1A1A1A"/>
          <w:kern w:val="0"/>
          <w:sz w:val="27"/>
          <w:szCs w:val="27"/>
        </w:rPr>
        <w:t>)</w:t>
      </w:r>
      <w:r w:rsidRPr="00FD5ACC">
        <w:rPr>
          <w:rFonts w:ascii="Georgia" w:eastAsia="新細明體" w:hAnsi="Georgia" w:cs="新細明體"/>
          <w:color w:val="1A1A1A"/>
          <w:kern w:val="0"/>
          <w:sz w:val="27"/>
          <w:szCs w:val="27"/>
        </w:rPr>
        <w:t>兩大部分</w:t>
      </w:r>
      <w:r w:rsidRPr="00FD5ACC">
        <w:rPr>
          <w:rFonts w:ascii="Georgia" w:eastAsia="新細明體" w:hAnsi="Georgia" w:cs="新細明體"/>
          <w:color w:val="1A1A1A"/>
          <w:kern w:val="0"/>
          <w:sz w:val="27"/>
          <w:szCs w:val="27"/>
        </w:rPr>
        <w:t>(</w:t>
      </w:r>
      <w:r w:rsidRPr="00FD5ACC">
        <w:rPr>
          <w:rFonts w:ascii="Times New Roman" w:eastAsia="新細明體" w:hAnsi="Times New Roman" w:cs="Times New Roman"/>
          <w:i/>
          <w:iCs/>
          <w:color w:val="1A1A1A"/>
          <w:kern w:val="0"/>
          <w:sz w:val="27"/>
          <w:szCs w:val="27"/>
        </w:rPr>
        <w:t>Schneider</w:t>
      </w:r>
      <w:r w:rsidRPr="00FD5ACC">
        <w:rPr>
          <w:rFonts w:ascii="Times New Roman" w:eastAsia="新細明體" w:hAnsi="Times New Roman" w:cs="Times New Roman"/>
          <w:color w:val="1A1A1A"/>
          <w:kern w:val="0"/>
          <w:sz w:val="27"/>
          <w:szCs w:val="27"/>
        </w:rPr>
        <w:t>, &amp; </w:t>
      </w:r>
      <w:proofErr w:type="spellStart"/>
      <w:r w:rsidRPr="00FD5ACC">
        <w:rPr>
          <w:rFonts w:ascii="Times New Roman" w:eastAsia="新細明體" w:hAnsi="Times New Roman" w:cs="Times New Roman"/>
          <w:i/>
          <w:iCs/>
          <w:color w:val="1A1A1A"/>
          <w:kern w:val="0"/>
          <w:sz w:val="27"/>
          <w:szCs w:val="27"/>
        </w:rPr>
        <w:t>Artelt</w:t>
      </w:r>
      <w:proofErr w:type="spellEnd"/>
      <w:r w:rsidRPr="00FD5ACC">
        <w:rPr>
          <w:rFonts w:ascii="Times New Roman" w:eastAsia="新細明體" w:hAnsi="Times New Roman" w:cs="Times New Roman"/>
          <w:color w:val="1A1A1A"/>
          <w:kern w:val="0"/>
          <w:sz w:val="27"/>
          <w:szCs w:val="27"/>
        </w:rPr>
        <w:t>, </w:t>
      </w:r>
      <w:r w:rsidRPr="00FD5ACC">
        <w:rPr>
          <w:rFonts w:ascii="Georgia" w:eastAsia="新細明體" w:hAnsi="Georgia" w:cs="新細明體"/>
          <w:color w:val="1A1A1A"/>
          <w:kern w:val="0"/>
          <w:sz w:val="27"/>
          <w:szCs w:val="27"/>
        </w:rPr>
        <w:t>2010)</w:t>
      </w:r>
      <w:r w:rsidRPr="00FD5ACC">
        <w:rPr>
          <w:rFonts w:ascii="Georgia" w:eastAsia="新細明體" w:hAnsi="Georgia" w:cs="新細明體"/>
          <w:color w:val="1A1A1A"/>
          <w:kern w:val="0"/>
          <w:sz w:val="27"/>
          <w:szCs w:val="27"/>
        </w:rPr>
        <w:t>。</w:t>
      </w:r>
    </w:p>
    <w:p w:rsidR="00FD5ACC" w:rsidRPr="00FD5ACC" w:rsidRDefault="00FD5ACC" w:rsidP="00FD5ACC">
      <w:pPr>
        <w:widowControl/>
        <w:shd w:val="clear" w:color="auto" w:fill="FFFFFF"/>
        <w:spacing w:after="420"/>
        <w:rPr>
          <w:rFonts w:ascii="Georgia" w:eastAsia="新細明體" w:hAnsi="Georgia" w:cs="新細明體"/>
          <w:color w:val="1A1A1A"/>
          <w:kern w:val="0"/>
          <w:szCs w:val="24"/>
        </w:rPr>
      </w:pPr>
      <w:r w:rsidRPr="00FD5ACC">
        <w:rPr>
          <w:rFonts w:ascii="Georgia" w:eastAsia="新細明體" w:hAnsi="Georgia" w:cs="新細明體"/>
          <w:color w:val="1A1A1A"/>
          <w:kern w:val="0"/>
          <w:szCs w:val="24"/>
        </w:rPr>
        <w:t xml:space="preserve">　　</w:t>
      </w:r>
      <w:r w:rsidRPr="00FD5ACC">
        <w:rPr>
          <w:rFonts w:ascii="Georgia" w:eastAsia="新細明體" w:hAnsi="Georgia" w:cs="新細明體"/>
          <w:color w:val="1A1A1A"/>
          <w:kern w:val="0"/>
          <w:sz w:val="27"/>
          <w:szCs w:val="27"/>
        </w:rPr>
        <w:t>後設認知知識可再細分成三種知識：</w:t>
      </w:r>
    </w:p>
    <w:p w:rsidR="00FD5ACC" w:rsidRPr="00FD5ACC" w:rsidRDefault="00FD5ACC" w:rsidP="00FD5ACC">
      <w:pPr>
        <w:widowControl/>
        <w:shd w:val="clear" w:color="auto" w:fill="FFFFFF"/>
        <w:spacing w:after="420"/>
        <w:rPr>
          <w:rFonts w:ascii="Georgia" w:eastAsia="新細明體" w:hAnsi="Georgia" w:cs="新細明體"/>
          <w:color w:val="1A1A1A"/>
          <w:kern w:val="0"/>
          <w:szCs w:val="24"/>
        </w:rPr>
      </w:pPr>
      <w:r w:rsidRPr="00FD5ACC">
        <w:rPr>
          <w:rFonts w:ascii="Georgia" w:eastAsia="新細明體" w:hAnsi="Georgia" w:cs="新細明體"/>
          <w:color w:val="1A1A1A"/>
          <w:kern w:val="0"/>
          <w:sz w:val="27"/>
          <w:szCs w:val="27"/>
        </w:rPr>
        <w:t>1.</w:t>
      </w:r>
      <w:r w:rsidRPr="00FD5ACC">
        <w:rPr>
          <w:rFonts w:ascii="Georgia" w:eastAsia="新細明體" w:hAnsi="Georgia" w:cs="新細明體"/>
          <w:b/>
          <w:bCs/>
          <w:color w:val="1A1A1A"/>
          <w:kern w:val="0"/>
          <w:sz w:val="27"/>
          <w:szCs w:val="27"/>
        </w:rPr>
        <w:t>陳述性知識</w:t>
      </w:r>
      <w:r w:rsidRPr="00FD5ACC">
        <w:rPr>
          <w:rFonts w:ascii="Georgia" w:eastAsia="新細明體" w:hAnsi="Georgia" w:cs="新細明體"/>
          <w:color w:val="1A1A1A"/>
          <w:kern w:val="0"/>
          <w:sz w:val="27"/>
          <w:szCs w:val="27"/>
        </w:rPr>
        <w:t>（</w:t>
      </w:r>
      <w:r w:rsidRPr="00FD5ACC">
        <w:rPr>
          <w:rFonts w:ascii="Times New Roman" w:eastAsia="新細明體" w:hAnsi="Times New Roman" w:cs="Times New Roman"/>
          <w:i/>
          <w:iCs/>
          <w:color w:val="1A1A1A"/>
          <w:kern w:val="0"/>
          <w:sz w:val="27"/>
          <w:szCs w:val="27"/>
        </w:rPr>
        <w:t>declarative knowledge</w:t>
      </w:r>
      <w:r w:rsidRPr="00FD5ACC">
        <w:rPr>
          <w:rFonts w:ascii="Georgia" w:eastAsia="新細明體" w:hAnsi="Georgia" w:cs="新細明體"/>
          <w:color w:val="1A1A1A"/>
          <w:kern w:val="0"/>
          <w:sz w:val="27"/>
          <w:szCs w:val="27"/>
        </w:rPr>
        <w:t>）：</w:t>
      </w:r>
    </w:p>
    <w:p w:rsidR="00FD5ACC" w:rsidRPr="00FD5ACC" w:rsidRDefault="00FD5ACC" w:rsidP="00FD5ACC">
      <w:pPr>
        <w:widowControl/>
        <w:shd w:val="clear" w:color="auto" w:fill="FFFFFF"/>
        <w:spacing w:after="420"/>
        <w:rPr>
          <w:rFonts w:ascii="Georgia" w:eastAsia="新細明體" w:hAnsi="Georgia" w:cs="新細明體"/>
          <w:color w:val="1A1A1A"/>
          <w:kern w:val="0"/>
          <w:szCs w:val="24"/>
        </w:rPr>
      </w:pPr>
      <w:r w:rsidRPr="00FD5ACC">
        <w:rPr>
          <w:rFonts w:ascii="Georgia" w:eastAsia="新細明體" w:hAnsi="Georgia" w:cs="新細明體"/>
          <w:color w:val="1A1A1A"/>
          <w:kern w:val="0"/>
          <w:sz w:val="27"/>
          <w:szCs w:val="27"/>
        </w:rPr>
        <w:t>是指知道那是什麼（</w:t>
      </w:r>
      <w:r w:rsidRPr="00FD5ACC">
        <w:rPr>
          <w:rFonts w:ascii="Times New Roman" w:eastAsia="新細明體" w:hAnsi="Times New Roman" w:cs="Times New Roman"/>
          <w:i/>
          <w:iCs/>
          <w:color w:val="1A1A1A"/>
          <w:kern w:val="0"/>
          <w:sz w:val="27"/>
          <w:szCs w:val="27"/>
        </w:rPr>
        <w:t>knowing that</w:t>
      </w:r>
      <w:r w:rsidRPr="00FD5ACC">
        <w:rPr>
          <w:rFonts w:ascii="Georgia" w:eastAsia="新細明體" w:hAnsi="Georgia" w:cs="新細明體"/>
          <w:color w:val="1A1A1A"/>
          <w:kern w:val="0"/>
          <w:sz w:val="27"/>
          <w:szCs w:val="27"/>
        </w:rPr>
        <w:t>）的知識，是對某概念或事實的瞭解。</w:t>
      </w:r>
    </w:p>
    <w:p w:rsidR="00FD5ACC" w:rsidRPr="00FD5ACC" w:rsidRDefault="00FD5ACC" w:rsidP="00FD5ACC">
      <w:pPr>
        <w:widowControl/>
        <w:shd w:val="clear" w:color="auto" w:fill="FFFFFF"/>
        <w:spacing w:after="420"/>
        <w:rPr>
          <w:rFonts w:ascii="Georgia" w:eastAsia="新細明體" w:hAnsi="Georgia" w:cs="新細明體"/>
          <w:color w:val="1A1A1A"/>
          <w:kern w:val="0"/>
          <w:szCs w:val="24"/>
        </w:rPr>
      </w:pPr>
      <w:r w:rsidRPr="00FD5ACC">
        <w:rPr>
          <w:rFonts w:ascii="Georgia" w:eastAsia="新細明體" w:hAnsi="Georgia" w:cs="新細明體"/>
          <w:color w:val="1A1A1A"/>
          <w:kern w:val="0"/>
          <w:sz w:val="27"/>
          <w:szCs w:val="27"/>
        </w:rPr>
        <w:t>2.</w:t>
      </w:r>
      <w:r w:rsidRPr="00FD5ACC">
        <w:rPr>
          <w:rFonts w:ascii="Georgia" w:eastAsia="新細明體" w:hAnsi="Georgia" w:cs="新細明體"/>
          <w:b/>
          <w:bCs/>
          <w:color w:val="1A1A1A"/>
          <w:kern w:val="0"/>
          <w:sz w:val="27"/>
          <w:szCs w:val="27"/>
        </w:rPr>
        <w:t>程序性知識</w:t>
      </w:r>
      <w:r w:rsidRPr="00FD5ACC">
        <w:rPr>
          <w:rFonts w:ascii="Georgia" w:eastAsia="新細明體" w:hAnsi="Georgia" w:cs="新細明體"/>
          <w:color w:val="1A1A1A"/>
          <w:kern w:val="0"/>
          <w:sz w:val="27"/>
          <w:szCs w:val="27"/>
        </w:rPr>
        <w:t>（</w:t>
      </w:r>
      <w:r w:rsidRPr="00FD5ACC">
        <w:rPr>
          <w:rFonts w:ascii="Times New Roman" w:eastAsia="新細明體" w:hAnsi="Times New Roman" w:cs="Times New Roman"/>
          <w:i/>
          <w:iCs/>
          <w:color w:val="1A1A1A"/>
          <w:kern w:val="0"/>
          <w:sz w:val="27"/>
          <w:szCs w:val="27"/>
        </w:rPr>
        <w:t>procedural knowledge</w:t>
      </w:r>
      <w:r w:rsidRPr="00FD5ACC">
        <w:rPr>
          <w:rFonts w:ascii="Georgia" w:eastAsia="新細明體" w:hAnsi="Georgia" w:cs="新細明體"/>
          <w:color w:val="1A1A1A"/>
          <w:kern w:val="0"/>
          <w:sz w:val="27"/>
          <w:szCs w:val="27"/>
        </w:rPr>
        <w:t>）：</w:t>
      </w:r>
    </w:p>
    <w:p w:rsidR="00FD5ACC" w:rsidRPr="00FD5ACC" w:rsidRDefault="00FD5ACC" w:rsidP="00FD5ACC">
      <w:pPr>
        <w:widowControl/>
        <w:shd w:val="clear" w:color="auto" w:fill="FFFFFF"/>
        <w:spacing w:after="420"/>
        <w:rPr>
          <w:rFonts w:ascii="Georgia" w:eastAsia="新細明體" w:hAnsi="Georgia" w:cs="新細明體"/>
          <w:color w:val="1A1A1A"/>
          <w:kern w:val="0"/>
          <w:szCs w:val="24"/>
        </w:rPr>
      </w:pPr>
      <w:r w:rsidRPr="00FD5ACC">
        <w:rPr>
          <w:rFonts w:ascii="Georgia" w:eastAsia="新細明體" w:hAnsi="Georgia" w:cs="新細明體"/>
          <w:color w:val="1A1A1A"/>
          <w:kern w:val="0"/>
          <w:sz w:val="27"/>
          <w:szCs w:val="27"/>
        </w:rPr>
        <w:t>是指知道如何去做（</w:t>
      </w:r>
      <w:r w:rsidRPr="00FD5ACC">
        <w:rPr>
          <w:rFonts w:ascii="Times New Roman" w:eastAsia="新細明體" w:hAnsi="Times New Roman" w:cs="Times New Roman"/>
          <w:i/>
          <w:iCs/>
          <w:color w:val="1A1A1A"/>
          <w:kern w:val="0"/>
          <w:sz w:val="27"/>
          <w:szCs w:val="27"/>
        </w:rPr>
        <w:t>knowing how</w:t>
      </w:r>
      <w:r w:rsidRPr="00FD5ACC">
        <w:rPr>
          <w:rFonts w:ascii="Georgia" w:eastAsia="新細明體" w:hAnsi="Georgia" w:cs="新細明體"/>
          <w:color w:val="1A1A1A"/>
          <w:kern w:val="0"/>
          <w:sz w:val="27"/>
          <w:szCs w:val="27"/>
        </w:rPr>
        <w:t>）的知識，是對程序步驟與規則的瞭解。</w:t>
      </w:r>
    </w:p>
    <w:p w:rsidR="00FD5ACC" w:rsidRPr="00FD5ACC" w:rsidRDefault="00FD5ACC" w:rsidP="00FD5ACC">
      <w:pPr>
        <w:widowControl/>
        <w:shd w:val="clear" w:color="auto" w:fill="FFFFFF"/>
        <w:spacing w:after="420"/>
        <w:rPr>
          <w:rFonts w:ascii="Georgia" w:eastAsia="新細明體" w:hAnsi="Georgia" w:cs="新細明體"/>
          <w:color w:val="1A1A1A"/>
          <w:kern w:val="0"/>
          <w:szCs w:val="24"/>
        </w:rPr>
      </w:pPr>
      <w:r w:rsidRPr="00FD5ACC">
        <w:rPr>
          <w:rFonts w:ascii="Georgia" w:eastAsia="新細明體" w:hAnsi="Georgia" w:cs="新細明體"/>
          <w:color w:val="1A1A1A"/>
          <w:kern w:val="0"/>
          <w:sz w:val="27"/>
          <w:szCs w:val="27"/>
        </w:rPr>
        <w:t>3.</w:t>
      </w:r>
      <w:r w:rsidRPr="00FD5ACC">
        <w:rPr>
          <w:rFonts w:ascii="Georgia" w:eastAsia="新細明體" w:hAnsi="Georgia" w:cs="新細明體"/>
          <w:b/>
          <w:bCs/>
          <w:color w:val="1A1A1A"/>
          <w:kern w:val="0"/>
          <w:sz w:val="27"/>
          <w:szCs w:val="27"/>
        </w:rPr>
        <w:t>條件性知識</w:t>
      </w:r>
      <w:r w:rsidRPr="00FD5ACC">
        <w:rPr>
          <w:rFonts w:ascii="Georgia" w:eastAsia="新細明體" w:hAnsi="Georgia" w:cs="新細明體"/>
          <w:color w:val="1A1A1A"/>
          <w:kern w:val="0"/>
          <w:sz w:val="27"/>
          <w:szCs w:val="27"/>
        </w:rPr>
        <w:t>（</w:t>
      </w:r>
      <w:r w:rsidRPr="00FD5ACC">
        <w:rPr>
          <w:rFonts w:ascii="Times New Roman" w:eastAsia="新細明體" w:hAnsi="Times New Roman" w:cs="Times New Roman"/>
          <w:i/>
          <w:iCs/>
          <w:color w:val="1A1A1A"/>
          <w:kern w:val="0"/>
          <w:sz w:val="27"/>
          <w:szCs w:val="27"/>
        </w:rPr>
        <w:t>conditional knowledge</w:t>
      </w:r>
      <w:r w:rsidRPr="00FD5ACC">
        <w:rPr>
          <w:rFonts w:ascii="Georgia" w:eastAsia="新細明體" w:hAnsi="Georgia" w:cs="新細明體"/>
          <w:color w:val="1A1A1A"/>
          <w:kern w:val="0"/>
          <w:sz w:val="27"/>
          <w:szCs w:val="27"/>
        </w:rPr>
        <w:t>）：</w:t>
      </w:r>
    </w:p>
    <w:p w:rsidR="00FD5ACC" w:rsidRPr="00FD5ACC" w:rsidRDefault="00FD5ACC" w:rsidP="00FD5ACC">
      <w:pPr>
        <w:widowControl/>
        <w:shd w:val="clear" w:color="auto" w:fill="FFFFFF"/>
        <w:spacing w:after="420"/>
        <w:rPr>
          <w:rFonts w:ascii="Georgia" w:eastAsia="新細明體" w:hAnsi="Georgia" w:cs="新細明體"/>
          <w:color w:val="1A1A1A"/>
          <w:kern w:val="0"/>
          <w:szCs w:val="24"/>
        </w:rPr>
      </w:pPr>
      <w:r w:rsidRPr="00FD5ACC">
        <w:rPr>
          <w:rFonts w:ascii="Georgia" w:eastAsia="新細明體" w:hAnsi="Georgia" w:cs="新細明體"/>
          <w:color w:val="1A1A1A"/>
          <w:kern w:val="0"/>
          <w:sz w:val="27"/>
          <w:szCs w:val="27"/>
        </w:rPr>
        <w:lastRenderedPageBreak/>
        <w:t>是指知道在某些條件下知道何時、為何來做（</w:t>
      </w:r>
      <w:r w:rsidRPr="00FD5ACC">
        <w:rPr>
          <w:rFonts w:ascii="Times New Roman" w:eastAsia="新細明體" w:hAnsi="Times New Roman" w:cs="Times New Roman"/>
          <w:i/>
          <w:iCs/>
          <w:color w:val="1A1A1A"/>
          <w:kern w:val="0"/>
          <w:sz w:val="27"/>
          <w:szCs w:val="27"/>
        </w:rPr>
        <w:t>knowing when and why</w:t>
      </w:r>
      <w:r w:rsidRPr="00FD5ACC">
        <w:rPr>
          <w:rFonts w:ascii="Georgia" w:eastAsia="新細明體" w:hAnsi="Georgia" w:cs="新細明體"/>
          <w:color w:val="1A1A1A"/>
          <w:kern w:val="0"/>
          <w:sz w:val="27"/>
          <w:szCs w:val="27"/>
        </w:rPr>
        <w:t>）的知識，也就是能夠辨認條件來選用策略的知識。</w:t>
      </w:r>
    </w:p>
    <w:p w:rsidR="00FD5ACC" w:rsidRPr="00FD5ACC" w:rsidRDefault="00FD5ACC" w:rsidP="00FD5ACC">
      <w:pPr>
        <w:widowControl/>
        <w:shd w:val="clear" w:color="auto" w:fill="FFFFFF"/>
        <w:spacing w:after="420"/>
        <w:rPr>
          <w:rFonts w:ascii="Georgia" w:eastAsia="新細明體" w:hAnsi="Georgia" w:cs="新細明體"/>
          <w:color w:val="1A1A1A"/>
          <w:kern w:val="0"/>
          <w:szCs w:val="24"/>
        </w:rPr>
      </w:pPr>
      <w:r w:rsidRPr="00FD5ACC">
        <w:rPr>
          <w:rFonts w:ascii="Georgia" w:eastAsia="新細明體" w:hAnsi="Georgia" w:cs="新細明體"/>
          <w:color w:val="1A1A1A"/>
          <w:kern w:val="0"/>
          <w:sz w:val="27"/>
          <w:szCs w:val="27"/>
        </w:rPr>
        <w:t xml:space="preserve">　　</w:t>
      </w:r>
      <w:proofErr w:type="gramStart"/>
      <w:r w:rsidRPr="00FD5ACC">
        <w:rPr>
          <w:rFonts w:ascii="Georgia" w:eastAsia="新細明體" w:hAnsi="Georgia" w:cs="新細明體"/>
          <w:color w:val="1A1A1A"/>
          <w:kern w:val="0"/>
          <w:sz w:val="27"/>
          <w:szCs w:val="27"/>
        </w:rPr>
        <w:t>此外，</w:t>
      </w:r>
      <w:proofErr w:type="gramEnd"/>
      <w:r w:rsidRPr="00FD5ACC">
        <w:rPr>
          <w:rFonts w:ascii="Georgia" w:eastAsia="新細明體" w:hAnsi="Georgia" w:cs="新細明體"/>
          <w:color w:val="1A1A1A"/>
          <w:kern w:val="0"/>
          <w:sz w:val="27"/>
          <w:szCs w:val="27"/>
        </w:rPr>
        <w:t>後設認知策略包括了計畫（</w:t>
      </w:r>
      <w:r w:rsidRPr="00FD5ACC">
        <w:rPr>
          <w:rFonts w:ascii="Times New Roman" w:eastAsia="新細明體" w:hAnsi="Times New Roman" w:cs="Times New Roman"/>
          <w:i/>
          <w:iCs/>
          <w:color w:val="1A1A1A"/>
          <w:kern w:val="0"/>
          <w:sz w:val="27"/>
          <w:szCs w:val="27"/>
        </w:rPr>
        <w:t>planning</w:t>
      </w:r>
      <w:r w:rsidRPr="00FD5ACC">
        <w:rPr>
          <w:rFonts w:ascii="Georgia" w:eastAsia="新細明體" w:hAnsi="Georgia" w:cs="新細明體"/>
          <w:color w:val="1A1A1A"/>
          <w:kern w:val="0"/>
          <w:sz w:val="27"/>
          <w:szCs w:val="27"/>
        </w:rPr>
        <w:t>）、監控（</w:t>
      </w:r>
      <w:r w:rsidRPr="00FD5ACC">
        <w:rPr>
          <w:rFonts w:ascii="Times New Roman" w:eastAsia="新細明體" w:hAnsi="Times New Roman" w:cs="Times New Roman"/>
          <w:i/>
          <w:iCs/>
          <w:color w:val="1A1A1A"/>
          <w:kern w:val="0"/>
          <w:sz w:val="27"/>
          <w:szCs w:val="27"/>
        </w:rPr>
        <w:t>monitoring</w:t>
      </w:r>
      <w:r w:rsidRPr="00FD5ACC">
        <w:rPr>
          <w:rFonts w:ascii="Georgia" w:eastAsia="新細明體" w:hAnsi="Georgia" w:cs="新細明體"/>
          <w:color w:val="1A1A1A"/>
          <w:kern w:val="0"/>
          <w:sz w:val="27"/>
          <w:szCs w:val="27"/>
        </w:rPr>
        <w:t>）、評鑑（</w:t>
      </w:r>
      <w:r w:rsidRPr="00FD5ACC">
        <w:rPr>
          <w:rFonts w:ascii="Times New Roman" w:eastAsia="新細明體" w:hAnsi="Times New Roman" w:cs="Times New Roman"/>
          <w:i/>
          <w:iCs/>
          <w:color w:val="1A1A1A"/>
          <w:kern w:val="0"/>
          <w:sz w:val="27"/>
          <w:szCs w:val="27"/>
        </w:rPr>
        <w:t>evaluating</w:t>
      </w:r>
      <w:r w:rsidRPr="00FD5ACC">
        <w:rPr>
          <w:rFonts w:ascii="Georgia" w:eastAsia="新細明體" w:hAnsi="Georgia" w:cs="新細明體"/>
          <w:color w:val="1A1A1A"/>
          <w:kern w:val="0"/>
          <w:sz w:val="27"/>
          <w:szCs w:val="27"/>
        </w:rPr>
        <w:t>）等策略。</w:t>
      </w:r>
    </w:p>
    <w:p w:rsidR="00FD5ACC" w:rsidRPr="00FD5ACC" w:rsidRDefault="00FD5ACC" w:rsidP="00FD5ACC">
      <w:pPr>
        <w:widowControl/>
        <w:shd w:val="clear" w:color="auto" w:fill="FFFFFF"/>
        <w:spacing w:after="420"/>
        <w:rPr>
          <w:rFonts w:ascii="Georgia" w:eastAsia="新細明體" w:hAnsi="Georgia" w:cs="新細明體"/>
          <w:color w:val="1A1A1A"/>
          <w:kern w:val="0"/>
          <w:szCs w:val="24"/>
        </w:rPr>
      </w:pPr>
      <w:r w:rsidRPr="00FD5ACC">
        <w:rPr>
          <w:rFonts w:ascii="Georgia" w:eastAsia="新細明體" w:hAnsi="Georgia" w:cs="新細明體"/>
          <w:color w:val="1A1A1A"/>
          <w:kern w:val="0"/>
          <w:szCs w:val="24"/>
        </w:rPr>
        <w:t> </w:t>
      </w:r>
      <w:r w:rsidRPr="00FD5ACC">
        <w:rPr>
          <w:rFonts w:ascii="Georgia" w:eastAsia="新細明體" w:hAnsi="Georgia" w:cs="新細明體"/>
          <w:b/>
          <w:bCs/>
          <w:color w:val="1A1A1A"/>
          <w:kern w:val="0"/>
          <w:sz w:val="30"/>
          <w:szCs w:val="30"/>
        </w:rPr>
        <w:t>三、數學素養中的後設認知和實例</w:t>
      </w:r>
    </w:p>
    <w:p w:rsidR="00FD5ACC" w:rsidRPr="00FD5ACC" w:rsidRDefault="00FD5ACC" w:rsidP="00FD5ACC">
      <w:pPr>
        <w:widowControl/>
        <w:shd w:val="clear" w:color="auto" w:fill="FFFFFF"/>
        <w:spacing w:after="420"/>
        <w:rPr>
          <w:rFonts w:ascii="Georgia" w:eastAsia="新細明體" w:hAnsi="Georgia" w:cs="新細明體"/>
          <w:color w:val="1A1A1A"/>
          <w:kern w:val="0"/>
          <w:szCs w:val="24"/>
        </w:rPr>
      </w:pPr>
      <w:r w:rsidRPr="00FD5ACC">
        <w:rPr>
          <w:rFonts w:ascii="Georgia" w:eastAsia="新細明體" w:hAnsi="Georgia" w:cs="新細明體"/>
          <w:color w:val="1A1A1A"/>
          <w:kern w:val="0"/>
          <w:szCs w:val="24"/>
        </w:rPr>
        <w:t xml:space="preserve">　　</w:t>
      </w:r>
      <w:r w:rsidRPr="00FD5ACC">
        <w:rPr>
          <w:rFonts w:ascii="Georgia" w:eastAsia="新細明體" w:hAnsi="Georgia" w:cs="新細明體"/>
          <w:color w:val="1A1A1A"/>
          <w:kern w:val="0"/>
          <w:sz w:val="27"/>
          <w:szCs w:val="27"/>
        </w:rPr>
        <w:t>就數學學習而言，數學後設認知深深影響問題解決的成功以及數學素養的培養</w:t>
      </w:r>
      <w:proofErr w:type="gramStart"/>
      <w:r w:rsidRPr="00FD5ACC">
        <w:rPr>
          <w:rFonts w:ascii="Georgia" w:eastAsia="新細明體" w:hAnsi="Georgia" w:cs="新細明體"/>
          <w:color w:val="1A1A1A"/>
          <w:kern w:val="0"/>
          <w:sz w:val="27"/>
          <w:szCs w:val="27"/>
        </w:rPr>
        <w:t>（</w:t>
      </w:r>
      <w:proofErr w:type="gramEnd"/>
      <w:r w:rsidRPr="00FD5ACC">
        <w:rPr>
          <w:rFonts w:ascii="Times New Roman" w:eastAsia="新細明體" w:hAnsi="Times New Roman" w:cs="Times New Roman"/>
          <w:i/>
          <w:iCs/>
          <w:color w:val="1A1A1A"/>
          <w:kern w:val="0"/>
          <w:sz w:val="27"/>
          <w:szCs w:val="27"/>
        </w:rPr>
        <w:t>Wilson</w:t>
      </w:r>
      <w:r w:rsidRPr="00FD5ACC">
        <w:rPr>
          <w:rFonts w:ascii="Times New Roman" w:eastAsia="新細明體" w:hAnsi="Times New Roman" w:cs="Times New Roman"/>
          <w:color w:val="1A1A1A"/>
          <w:kern w:val="0"/>
          <w:sz w:val="27"/>
          <w:szCs w:val="27"/>
        </w:rPr>
        <w:t> &amp; </w:t>
      </w:r>
      <w:r w:rsidRPr="00FD5ACC">
        <w:rPr>
          <w:rFonts w:ascii="Times New Roman" w:eastAsia="新細明體" w:hAnsi="Times New Roman" w:cs="Times New Roman"/>
          <w:i/>
          <w:iCs/>
          <w:color w:val="1A1A1A"/>
          <w:kern w:val="0"/>
          <w:sz w:val="27"/>
          <w:szCs w:val="27"/>
        </w:rPr>
        <w:t>Clarke</w:t>
      </w:r>
      <w:r w:rsidRPr="00FD5ACC">
        <w:rPr>
          <w:rFonts w:ascii="Times New Roman" w:eastAsia="新細明體" w:hAnsi="Times New Roman" w:cs="Times New Roman"/>
          <w:color w:val="1A1A1A"/>
          <w:kern w:val="0"/>
          <w:sz w:val="27"/>
          <w:szCs w:val="27"/>
        </w:rPr>
        <w:t>, </w:t>
      </w:r>
      <w:r w:rsidRPr="00FD5ACC">
        <w:rPr>
          <w:rFonts w:ascii="Georgia" w:eastAsia="新細明體" w:hAnsi="Georgia" w:cs="新細明體"/>
          <w:color w:val="1A1A1A"/>
          <w:kern w:val="0"/>
          <w:sz w:val="27"/>
          <w:szCs w:val="27"/>
        </w:rPr>
        <w:t>2004</w:t>
      </w:r>
      <w:r w:rsidRPr="00FD5ACC">
        <w:rPr>
          <w:rFonts w:ascii="Georgia" w:eastAsia="新細明體" w:hAnsi="Georgia" w:cs="新細明體"/>
          <w:color w:val="1A1A1A"/>
          <w:kern w:val="0"/>
          <w:sz w:val="27"/>
          <w:szCs w:val="27"/>
        </w:rPr>
        <w:t>）。例如，</w:t>
      </w:r>
      <w:r w:rsidRPr="00FD5ACC">
        <w:rPr>
          <w:rFonts w:ascii="Times New Roman" w:eastAsia="新細明體" w:hAnsi="Times New Roman" w:cs="Times New Roman"/>
          <w:i/>
          <w:iCs/>
          <w:color w:val="1A1A1A"/>
          <w:kern w:val="0"/>
          <w:sz w:val="27"/>
          <w:szCs w:val="27"/>
        </w:rPr>
        <w:t>Yore</w:t>
      </w:r>
      <w:r w:rsidRPr="00FD5ACC">
        <w:rPr>
          <w:rFonts w:ascii="Times New Roman" w:eastAsia="新細明體" w:hAnsi="Times New Roman" w:cs="Times New Roman"/>
          <w:color w:val="1A1A1A"/>
          <w:kern w:val="0"/>
          <w:sz w:val="27"/>
          <w:szCs w:val="27"/>
        </w:rPr>
        <w:t>, </w:t>
      </w:r>
      <w:proofErr w:type="spellStart"/>
      <w:r w:rsidRPr="00FD5ACC">
        <w:rPr>
          <w:rFonts w:ascii="Times New Roman" w:eastAsia="新細明體" w:hAnsi="Times New Roman" w:cs="Times New Roman"/>
          <w:i/>
          <w:iCs/>
          <w:color w:val="1A1A1A"/>
          <w:kern w:val="0"/>
          <w:sz w:val="27"/>
          <w:szCs w:val="27"/>
        </w:rPr>
        <w:t>Pimm</w:t>
      </w:r>
      <w:proofErr w:type="spellEnd"/>
      <w:r w:rsidRPr="00FD5ACC">
        <w:rPr>
          <w:rFonts w:ascii="Times New Roman" w:eastAsia="新細明體" w:hAnsi="Times New Roman" w:cs="Times New Roman"/>
          <w:color w:val="1A1A1A"/>
          <w:kern w:val="0"/>
          <w:sz w:val="27"/>
          <w:szCs w:val="27"/>
        </w:rPr>
        <w:t>, &amp; </w:t>
      </w:r>
      <w:r w:rsidRPr="00FD5ACC">
        <w:rPr>
          <w:rFonts w:ascii="Times New Roman" w:eastAsia="新細明體" w:hAnsi="Times New Roman" w:cs="Times New Roman"/>
          <w:i/>
          <w:iCs/>
          <w:color w:val="1A1A1A"/>
          <w:kern w:val="0"/>
          <w:sz w:val="27"/>
          <w:szCs w:val="27"/>
        </w:rPr>
        <w:t>Tuan</w:t>
      </w:r>
      <w:r w:rsidRPr="00FD5ACC">
        <w:rPr>
          <w:rFonts w:ascii="Georgia" w:eastAsia="新細明體" w:hAnsi="Georgia" w:cs="新細明體"/>
          <w:color w:val="1A1A1A"/>
          <w:kern w:val="0"/>
          <w:sz w:val="27"/>
          <w:szCs w:val="27"/>
        </w:rPr>
        <w:t>（</w:t>
      </w:r>
      <w:r w:rsidRPr="00FD5ACC">
        <w:rPr>
          <w:rFonts w:ascii="Georgia" w:eastAsia="新細明體" w:hAnsi="Georgia" w:cs="新細明體"/>
          <w:color w:val="1A1A1A"/>
          <w:kern w:val="0"/>
          <w:sz w:val="27"/>
          <w:szCs w:val="27"/>
        </w:rPr>
        <w:t>2007</w:t>
      </w:r>
      <w:r w:rsidRPr="00FD5ACC">
        <w:rPr>
          <w:rFonts w:ascii="Georgia" w:eastAsia="新細明體" w:hAnsi="Georgia" w:cs="新細明體"/>
          <w:color w:val="1A1A1A"/>
          <w:kern w:val="0"/>
          <w:sz w:val="27"/>
          <w:szCs w:val="27"/>
        </w:rPr>
        <w:t>）指出後設認知的能力與推理是數學素養的共同元素，</w:t>
      </w:r>
      <w:r w:rsidRPr="00FD5ACC">
        <w:rPr>
          <w:rFonts w:ascii="Times New Roman" w:eastAsia="新細明體" w:hAnsi="Times New Roman" w:cs="Times New Roman"/>
          <w:i/>
          <w:iCs/>
          <w:color w:val="1A1A1A"/>
          <w:kern w:val="0"/>
          <w:sz w:val="27"/>
          <w:szCs w:val="27"/>
        </w:rPr>
        <w:t>Schneider</w:t>
      </w:r>
      <w:r w:rsidRPr="00FD5ACC">
        <w:rPr>
          <w:rFonts w:ascii="Times New Roman" w:eastAsia="新細明體" w:hAnsi="Times New Roman" w:cs="Times New Roman"/>
          <w:color w:val="1A1A1A"/>
          <w:kern w:val="0"/>
          <w:sz w:val="27"/>
          <w:szCs w:val="27"/>
        </w:rPr>
        <w:t> &amp; </w:t>
      </w:r>
      <w:proofErr w:type="spellStart"/>
      <w:r w:rsidRPr="00FD5ACC">
        <w:rPr>
          <w:rFonts w:ascii="Times New Roman" w:eastAsia="新細明體" w:hAnsi="Times New Roman" w:cs="Times New Roman"/>
          <w:i/>
          <w:iCs/>
          <w:color w:val="1A1A1A"/>
          <w:kern w:val="0"/>
          <w:sz w:val="27"/>
          <w:szCs w:val="27"/>
        </w:rPr>
        <w:t>Artelt</w:t>
      </w:r>
      <w:proofErr w:type="spellEnd"/>
      <w:r w:rsidRPr="00FD5ACC">
        <w:rPr>
          <w:rFonts w:ascii="Georgia" w:eastAsia="新細明體" w:hAnsi="Georgia" w:cs="新細明體"/>
          <w:color w:val="1A1A1A"/>
          <w:kern w:val="0"/>
          <w:sz w:val="27"/>
          <w:szCs w:val="27"/>
        </w:rPr>
        <w:t>（</w:t>
      </w:r>
      <w:r w:rsidRPr="00FD5ACC">
        <w:rPr>
          <w:rFonts w:ascii="Georgia" w:eastAsia="新細明體" w:hAnsi="Georgia" w:cs="新細明體"/>
          <w:color w:val="1A1A1A"/>
          <w:kern w:val="0"/>
          <w:sz w:val="27"/>
          <w:szCs w:val="27"/>
        </w:rPr>
        <w:t>2010</w:t>
      </w:r>
      <w:r w:rsidRPr="00FD5ACC">
        <w:rPr>
          <w:rFonts w:ascii="Georgia" w:eastAsia="新細明體" w:hAnsi="Georgia" w:cs="新細明體"/>
          <w:color w:val="1A1A1A"/>
          <w:kern w:val="0"/>
          <w:sz w:val="27"/>
          <w:szCs w:val="27"/>
        </w:rPr>
        <w:t>）指出學生擁有後設認知知識與策略，能有效促進其數學學習的成效。許多的文獻均指出，學生的數學後設認知策略是可以被教導的，而且應從低年級階段就可以進行。那麼，綜合前述的後設認知策略，有哪些提升學生數學後設認知的有效教學策略呢？</w:t>
      </w:r>
      <w:proofErr w:type="gramStart"/>
      <w:r w:rsidRPr="00FD5ACC">
        <w:rPr>
          <w:rFonts w:ascii="Georgia" w:eastAsia="新細明體" w:hAnsi="Georgia" w:cs="新細明體"/>
          <w:color w:val="1A1A1A"/>
          <w:kern w:val="0"/>
          <w:sz w:val="27"/>
          <w:szCs w:val="27"/>
        </w:rPr>
        <w:t>臚</w:t>
      </w:r>
      <w:proofErr w:type="gramEnd"/>
      <w:r w:rsidRPr="00FD5ACC">
        <w:rPr>
          <w:rFonts w:ascii="Georgia" w:eastAsia="新細明體" w:hAnsi="Georgia" w:cs="新細明體"/>
          <w:color w:val="1A1A1A"/>
          <w:kern w:val="0"/>
          <w:sz w:val="27"/>
          <w:szCs w:val="27"/>
        </w:rPr>
        <w:t>列數點如下</w:t>
      </w:r>
      <w:proofErr w:type="gramStart"/>
      <w:r w:rsidRPr="00FD5ACC">
        <w:rPr>
          <w:rFonts w:ascii="Georgia" w:eastAsia="新細明體" w:hAnsi="Georgia" w:cs="新細明體"/>
          <w:color w:val="1A1A1A"/>
          <w:kern w:val="0"/>
          <w:sz w:val="27"/>
          <w:szCs w:val="27"/>
        </w:rPr>
        <w:t>（</w:t>
      </w:r>
      <w:proofErr w:type="gramEnd"/>
      <w:r w:rsidRPr="00FD5ACC">
        <w:rPr>
          <w:rFonts w:ascii="Times New Roman" w:eastAsia="新細明體" w:hAnsi="Times New Roman" w:cs="Times New Roman"/>
          <w:i/>
          <w:iCs/>
          <w:color w:val="1A1A1A"/>
          <w:kern w:val="0"/>
          <w:sz w:val="27"/>
          <w:szCs w:val="27"/>
        </w:rPr>
        <w:t>Montague</w:t>
      </w:r>
      <w:r w:rsidRPr="00FD5ACC">
        <w:rPr>
          <w:rFonts w:ascii="Times New Roman" w:eastAsia="新細明體" w:hAnsi="Times New Roman" w:cs="Times New Roman"/>
          <w:color w:val="1A1A1A"/>
          <w:kern w:val="0"/>
          <w:sz w:val="27"/>
          <w:szCs w:val="27"/>
        </w:rPr>
        <w:t xml:space="preserve">, </w:t>
      </w:r>
      <w:proofErr w:type="spellStart"/>
      <w:r w:rsidRPr="00FD5ACC">
        <w:rPr>
          <w:rFonts w:ascii="Times New Roman" w:eastAsia="新細明體" w:hAnsi="Times New Roman" w:cs="Times New Roman"/>
          <w:color w:val="1A1A1A"/>
          <w:kern w:val="0"/>
          <w:sz w:val="27"/>
          <w:szCs w:val="27"/>
        </w:rPr>
        <w:t>Warger</w:t>
      </w:r>
      <w:proofErr w:type="spellEnd"/>
      <w:r w:rsidRPr="00FD5ACC">
        <w:rPr>
          <w:rFonts w:ascii="Times New Roman" w:eastAsia="新細明體" w:hAnsi="Times New Roman" w:cs="Times New Roman"/>
          <w:color w:val="1A1A1A"/>
          <w:kern w:val="0"/>
          <w:sz w:val="27"/>
          <w:szCs w:val="27"/>
        </w:rPr>
        <w:t>, &amp; </w:t>
      </w:r>
      <w:r w:rsidRPr="00FD5ACC">
        <w:rPr>
          <w:rFonts w:ascii="Times New Roman" w:eastAsia="新細明體" w:hAnsi="Times New Roman" w:cs="Times New Roman"/>
          <w:i/>
          <w:iCs/>
          <w:color w:val="1A1A1A"/>
          <w:kern w:val="0"/>
          <w:sz w:val="27"/>
          <w:szCs w:val="27"/>
        </w:rPr>
        <w:t>Morgan</w:t>
      </w:r>
      <w:r w:rsidRPr="00FD5ACC">
        <w:rPr>
          <w:rFonts w:ascii="Times New Roman" w:eastAsia="新細明體" w:hAnsi="Times New Roman" w:cs="Times New Roman"/>
          <w:color w:val="1A1A1A"/>
          <w:kern w:val="0"/>
          <w:sz w:val="27"/>
          <w:szCs w:val="27"/>
        </w:rPr>
        <w:t>, </w:t>
      </w:r>
      <w:r w:rsidRPr="00FD5ACC">
        <w:rPr>
          <w:rFonts w:ascii="Georgia" w:eastAsia="新細明體" w:hAnsi="Georgia" w:cs="新細明體"/>
          <w:color w:val="1A1A1A"/>
          <w:kern w:val="0"/>
          <w:sz w:val="27"/>
          <w:szCs w:val="27"/>
        </w:rPr>
        <w:t>2000</w:t>
      </w:r>
      <w:r w:rsidRPr="00FD5ACC">
        <w:rPr>
          <w:rFonts w:ascii="Georgia" w:eastAsia="新細明體" w:hAnsi="Georgia" w:cs="新細明體"/>
          <w:color w:val="1A1A1A"/>
          <w:kern w:val="0"/>
          <w:sz w:val="27"/>
          <w:szCs w:val="27"/>
        </w:rPr>
        <w:t>）。</w:t>
      </w:r>
    </w:p>
    <w:p w:rsidR="00FD5ACC" w:rsidRPr="00FD5ACC" w:rsidRDefault="00FD5ACC" w:rsidP="00FD5ACC">
      <w:pPr>
        <w:widowControl/>
        <w:shd w:val="clear" w:color="auto" w:fill="FFFFFF"/>
        <w:spacing w:after="420"/>
        <w:rPr>
          <w:rFonts w:ascii="Georgia" w:eastAsia="新細明體" w:hAnsi="Georgia" w:cs="新細明體"/>
          <w:color w:val="1A1A1A"/>
          <w:kern w:val="0"/>
          <w:szCs w:val="24"/>
        </w:rPr>
      </w:pPr>
      <w:r w:rsidRPr="00FD5ACC">
        <w:rPr>
          <w:rFonts w:ascii="Georgia" w:eastAsia="新細明體" w:hAnsi="Georgia" w:cs="新細明體"/>
          <w:b/>
          <w:bCs/>
          <w:color w:val="0000FF"/>
          <w:kern w:val="0"/>
          <w:sz w:val="27"/>
          <w:szCs w:val="27"/>
        </w:rPr>
        <w:t>1.</w:t>
      </w:r>
      <w:r w:rsidRPr="00FD5ACC">
        <w:rPr>
          <w:rFonts w:ascii="Georgia" w:eastAsia="新細明體" w:hAnsi="Georgia" w:cs="新細明體"/>
          <w:b/>
          <w:bCs/>
          <w:color w:val="0000FF"/>
          <w:kern w:val="0"/>
          <w:sz w:val="27"/>
          <w:szCs w:val="27"/>
        </w:rPr>
        <w:t>監控閱讀理解與轉譯</w:t>
      </w:r>
    </w:p>
    <w:p w:rsidR="00FD5ACC" w:rsidRPr="00FD5ACC" w:rsidRDefault="00FD5ACC" w:rsidP="00FD5ACC">
      <w:pPr>
        <w:widowControl/>
        <w:shd w:val="clear" w:color="auto" w:fill="FFFFFF"/>
        <w:spacing w:after="420"/>
        <w:rPr>
          <w:rFonts w:ascii="Georgia" w:eastAsia="新細明體" w:hAnsi="Georgia" w:cs="新細明體"/>
          <w:color w:val="1A1A1A"/>
          <w:kern w:val="0"/>
          <w:szCs w:val="24"/>
        </w:rPr>
      </w:pPr>
      <w:r w:rsidRPr="00FD5ACC">
        <w:rPr>
          <w:rFonts w:ascii="Georgia" w:eastAsia="新細明體" w:hAnsi="Georgia" w:cs="新細明體"/>
          <w:color w:val="1A1A1A"/>
          <w:kern w:val="0"/>
          <w:sz w:val="27"/>
          <w:szCs w:val="27"/>
        </w:rPr>
        <w:t>引導學生自我評鑑（</w:t>
      </w:r>
      <w:r w:rsidRPr="00FD5ACC">
        <w:rPr>
          <w:rFonts w:ascii="Times New Roman" w:eastAsia="新細明體" w:hAnsi="Times New Roman" w:cs="Times New Roman"/>
          <w:i/>
          <w:iCs/>
          <w:color w:val="1A1A1A"/>
          <w:kern w:val="0"/>
          <w:sz w:val="27"/>
          <w:szCs w:val="27"/>
        </w:rPr>
        <w:t>self-evaluation</w:t>
      </w:r>
      <w:r w:rsidRPr="00FD5ACC">
        <w:rPr>
          <w:rFonts w:ascii="Georgia" w:eastAsia="新細明體" w:hAnsi="Georgia" w:cs="新細明體"/>
          <w:color w:val="1A1A1A"/>
          <w:kern w:val="0"/>
          <w:sz w:val="27"/>
          <w:szCs w:val="27"/>
        </w:rPr>
        <w:t>）是否瞭解問題中的內容？可否指出重要的關鍵訊息？利用放聲思考（</w:t>
      </w:r>
      <w:r w:rsidRPr="00FD5ACC">
        <w:rPr>
          <w:rFonts w:ascii="Times New Roman" w:eastAsia="新細明體" w:hAnsi="Times New Roman" w:cs="Times New Roman"/>
          <w:i/>
          <w:iCs/>
          <w:color w:val="1A1A1A"/>
          <w:kern w:val="0"/>
          <w:sz w:val="27"/>
          <w:szCs w:val="27"/>
        </w:rPr>
        <w:t>aloud thinking</w:t>
      </w:r>
      <w:r w:rsidRPr="00FD5ACC">
        <w:rPr>
          <w:rFonts w:ascii="Georgia" w:eastAsia="新細明體" w:hAnsi="Georgia" w:cs="新細明體"/>
          <w:color w:val="1A1A1A"/>
          <w:kern w:val="0"/>
          <w:sz w:val="27"/>
          <w:szCs w:val="27"/>
        </w:rPr>
        <w:t>）來監控並促進瞭解這關鍵訊息所表示的內容和意義。</w:t>
      </w:r>
    </w:p>
    <w:p w:rsidR="00FD5ACC" w:rsidRPr="00FD5ACC" w:rsidRDefault="00FD5ACC" w:rsidP="00FD5ACC">
      <w:pPr>
        <w:widowControl/>
        <w:shd w:val="clear" w:color="auto" w:fill="FFFFFF"/>
        <w:spacing w:after="420"/>
        <w:rPr>
          <w:rFonts w:ascii="Georgia" w:eastAsia="新細明體" w:hAnsi="Georgia" w:cs="新細明體"/>
          <w:color w:val="1A1A1A"/>
          <w:kern w:val="0"/>
          <w:szCs w:val="24"/>
        </w:rPr>
      </w:pPr>
      <w:r w:rsidRPr="00FD5ACC">
        <w:rPr>
          <w:rFonts w:ascii="Georgia" w:eastAsia="新細明體" w:hAnsi="Georgia" w:cs="新細明體"/>
          <w:b/>
          <w:bCs/>
          <w:color w:val="0000FF"/>
          <w:kern w:val="0"/>
          <w:sz w:val="27"/>
          <w:szCs w:val="27"/>
        </w:rPr>
        <w:t>2.</w:t>
      </w:r>
      <w:r w:rsidRPr="00FD5ACC">
        <w:rPr>
          <w:rFonts w:ascii="Georgia" w:eastAsia="新細明體" w:hAnsi="Georgia" w:cs="新細明體"/>
          <w:b/>
          <w:bCs/>
          <w:color w:val="0000FF"/>
          <w:kern w:val="0"/>
          <w:sz w:val="27"/>
          <w:szCs w:val="27"/>
        </w:rPr>
        <w:t>以自己的話語重述題意</w:t>
      </w:r>
    </w:p>
    <w:p w:rsidR="00FD5ACC" w:rsidRPr="00FD5ACC" w:rsidRDefault="00FD5ACC" w:rsidP="00FD5ACC">
      <w:pPr>
        <w:widowControl/>
        <w:shd w:val="clear" w:color="auto" w:fill="FFFFFF"/>
        <w:spacing w:after="420"/>
        <w:rPr>
          <w:rFonts w:ascii="Georgia" w:eastAsia="新細明體" w:hAnsi="Georgia" w:cs="新細明體"/>
          <w:color w:val="1A1A1A"/>
          <w:kern w:val="0"/>
          <w:szCs w:val="24"/>
        </w:rPr>
      </w:pPr>
      <w:r w:rsidRPr="00FD5ACC">
        <w:rPr>
          <w:rFonts w:ascii="Georgia" w:eastAsia="新細明體" w:hAnsi="Georgia" w:cs="新細明體"/>
          <w:color w:val="1A1A1A"/>
          <w:kern w:val="0"/>
          <w:sz w:val="27"/>
          <w:szCs w:val="27"/>
        </w:rPr>
        <w:t>藉由老師提問來訓練學生自我提問（</w:t>
      </w:r>
      <w:r w:rsidRPr="00FD5ACC">
        <w:rPr>
          <w:rFonts w:ascii="Times New Roman" w:eastAsia="新細明體" w:hAnsi="Times New Roman" w:cs="Times New Roman"/>
          <w:i/>
          <w:iCs/>
          <w:color w:val="1A1A1A"/>
          <w:kern w:val="0"/>
          <w:sz w:val="27"/>
          <w:szCs w:val="27"/>
        </w:rPr>
        <w:t>self-question</w:t>
      </w:r>
      <w:r w:rsidRPr="00FD5ACC">
        <w:rPr>
          <w:rFonts w:ascii="Georgia" w:eastAsia="新細明體" w:hAnsi="Georgia" w:cs="新細明體"/>
          <w:color w:val="1A1A1A"/>
          <w:kern w:val="0"/>
          <w:sz w:val="27"/>
          <w:szCs w:val="27"/>
        </w:rPr>
        <w:t>），這個問題的意思是什麼？想像自己教自己，用自己的語言把問題的條件和重要內容說出來。</w:t>
      </w:r>
    </w:p>
    <w:p w:rsidR="00FD5ACC" w:rsidRPr="00FD5ACC" w:rsidRDefault="00FD5ACC" w:rsidP="00FD5ACC">
      <w:pPr>
        <w:widowControl/>
        <w:shd w:val="clear" w:color="auto" w:fill="FFFFFF"/>
        <w:spacing w:after="420"/>
        <w:rPr>
          <w:rFonts w:ascii="Georgia" w:eastAsia="新細明體" w:hAnsi="Georgia" w:cs="新細明體"/>
          <w:color w:val="1A1A1A"/>
          <w:kern w:val="0"/>
          <w:szCs w:val="24"/>
        </w:rPr>
      </w:pPr>
      <w:r w:rsidRPr="00FD5ACC">
        <w:rPr>
          <w:rFonts w:ascii="Georgia" w:eastAsia="新細明體" w:hAnsi="Georgia" w:cs="新細明體"/>
          <w:b/>
          <w:bCs/>
          <w:color w:val="0000FF"/>
          <w:kern w:val="0"/>
          <w:sz w:val="27"/>
          <w:szCs w:val="27"/>
        </w:rPr>
        <w:t>3.</w:t>
      </w:r>
      <w:r w:rsidRPr="00FD5ACC">
        <w:rPr>
          <w:rFonts w:ascii="Georgia" w:eastAsia="新細明體" w:hAnsi="Georgia" w:cs="新細明體"/>
          <w:b/>
          <w:bCs/>
          <w:color w:val="0000FF"/>
          <w:kern w:val="0"/>
          <w:sz w:val="27"/>
          <w:szCs w:val="27"/>
        </w:rPr>
        <w:t>視覺化的表徵呈現</w:t>
      </w:r>
    </w:p>
    <w:p w:rsidR="00FD5ACC" w:rsidRPr="00FD5ACC" w:rsidRDefault="00FD5ACC" w:rsidP="00FD5ACC">
      <w:pPr>
        <w:widowControl/>
        <w:shd w:val="clear" w:color="auto" w:fill="FFFFFF"/>
        <w:spacing w:after="420"/>
        <w:rPr>
          <w:rFonts w:ascii="Georgia" w:eastAsia="新細明體" w:hAnsi="Georgia" w:cs="新細明體"/>
          <w:color w:val="1A1A1A"/>
          <w:kern w:val="0"/>
          <w:szCs w:val="24"/>
        </w:rPr>
      </w:pPr>
      <w:r w:rsidRPr="00FD5ACC">
        <w:rPr>
          <w:rFonts w:ascii="Georgia" w:eastAsia="新細明體" w:hAnsi="Georgia" w:cs="新細明體"/>
          <w:color w:val="1A1A1A"/>
          <w:kern w:val="0"/>
          <w:sz w:val="27"/>
          <w:szCs w:val="27"/>
        </w:rPr>
        <w:t>協助學童自我教導（</w:t>
      </w:r>
      <w:r w:rsidRPr="00FD5ACC">
        <w:rPr>
          <w:rFonts w:ascii="Times New Roman" w:eastAsia="新細明體" w:hAnsi="Times New Roman" w:cs="Times New Roman"/>
          <w:i/>
          <w:iCs/>
          <w:color w:val="1A1A1A"/>
          <w:kern w:val="0"/>
          <w:sz w:val="27"/>
          <w:szCs w:val="27"/>
        </w:rPr>
        <w:t>self-instruction</w:t>
      </w:r>
      <w:r w:rsidRPr="00FD5ACC">
        <w:rPr>
          <w:rFonts w:ascii="Georgia" w:eastAsia="新細明體" w:hAnsi="Georgia" w:cs="新細明體"/>
          <w:color w:val="1A1A1A"/>
          <w:kern w:val="0"/>
          <w:sz w:val="27"/>
          <w:szCs w:val="27"/>
        </w:rPr>
        <w:t>）用視覺化的圖</w:t>
      </w:r>
      <w:proofErr w:type="gramStart"/>
      <w:r w:rsidRPr="00FD5ACC">
        <w:rPr>
          <w:rFonts w:ascii="Georgia" w:eastAsia="新細明體" w:hAnsi="Georgia" w:cs="新細明體"/>
          <w:color w:val="1A1A1A"/>
          <w:kern w:val="0"/>
          <w:sz w:val="27"/>
          <w:szCs w:val="27"/>
        </w:rPr>
        <w:t>或表把問題</w:t>
      </w:r>
      <w:proofErr w:type="gramEnd"/>
      <w:r w:rsidRPr="00FD5ACC">
        <w:rPr>
          <w:rFonts w:ascii="Georgia" w:eastAsia="新細明體" w:hAnsi="Georgia" w:cs="新細明體"/>
          <w:color w:val="1A1A1A"/>
          <w:kern w:val="0"/>
          <w:sz w:val="27"/>
          <w:szCs w:val="27"/>
        </w:rPr>
        <w:t>的畫出來，來協助瞭解問題並提出策略；同時也檢核畫出的圖或表是否符合題意。</w:t>
      </w:r>
    </w:p>
    <w:p w:rsidR="00FD5ACC" w:rsidRPr="00FD5ACC" w:rsidRDefault="00FD5ACC" w:rsidP="00FD5ACC">
      <w:pPr>
        <w:widowControl/>
        <w:shd w:val="clear" w:color="auto" w:fill="FFFFFF"/>
        <w:spacing w:after="420"/>
        <w:rPr>
          <w:rFonts w:ascii="Georgia" w:eastAsia="新細明體" w:hAnsi="Georgia" w:cs="新細明體"/>
          <w:color w:val="1A1A1A"/>
          <w:kern w:val="0"/>
          <w:szCs w:val="24"/>
        </w:rPr>
      </w:pPr>
      <w:r w:rsidRPr="00FD5ACC">
        <w:rPr>
          <w:rFonts w:ascii="Georgia" w:eastAsia="新細明體" w:hAnsi="Georgia" w:cs="新細明體"/>
          <w:b/>
          <w:bCs/>
          <w:color w:val="0000FF"/>
          <w:kern w:val="0"/>
          <w:sz w:val="27"/>
          <w:szCs w:val="27"/>
        </w:rPr>
        <w:t>4.</w:t>
      </w:r>
      <w:r w:rsidRPr="00FD5ACC">
        <w:rPr>
          <w:rFonts w:ascii="Georgia" w:eastAsia="新細明體" w:hAnsi="Georgia" w:cs="新細明體"/>
          <w:b/>
          <w:bCs/>
          <w:color w:val="0000FF"/>
          <w:kern w:val="0"/>
          <w:sz w:val="27"/>
          <w:szCs w:val="27"/>
        </w:rPr>
        <w:t>提出解題策略與規劃</w:t>
      </w:r>
    </w:p>
    <w:p w:rsidR="00FD5ACC" w:rsidRPr="00FD5ACC" w:rsidRDefault="00FD5ACC" w:rsidP="00FD5ACC">
      <w:pPr>
        <w:widowControl/>
        <w:shd w:val="clear" w:color="auto" w:fill="FFFFFF"/>
        <w:spacing w:after="420"/>
        <w:rPr>
          <w:rFonts w:ascii="Georgia" w:eastAsia="新細明體" w:hAnsi="Georgia" w:cs="新細明體"/>
          <w:color w:val="1A1A1A"/>
          <w:kern w:val="0"/>
          <w:szCs w:val="24"/>
        </w:rPr>
      </w:pPr>
      <w:r w:rsidRPr="00FD5ACC">
        <w:rPr>
          <w:rFonts w:ascii="Georgia" w:eastAsia="新細明體" w:hAnsi="Georgia" w:cs="新細明體"/>
          <w:color w:val="1A1A1A"/>
          <w:kern w:val="0"/>
          <w:sz w:val="27"/>
          <w:szCs w:val="27"/>
        </w:rPr>
        <w:lastRenderedPageBreak/>
        <w:t>協助學生根據題意理解和學過的知識經驗，提出可行的解題策略。決定要怎麼做？先做什麼？再做什麼？要不要調整步驟順序？</w:t>
      </w:r>
    </w:p>
    <w:p w:rsidR="00FD5ACC" w:rsidRPr="00FD5ACC" w:rsidRDefault="00FD5ACC" w:rsidP="00FD5ACC">
      <w:pPr>
        <w:widowControl/>
        <w:shd w:val="clear" w:color="auto" w:fill="FFFFFF"/>
        <w:spacing w:after="420"/>
        <w:rPr>
          <w:rFonts w:ascii="Georgia" w:eastAsia="新細明體" w:hAnsi="Georgia" w:cs="新細明體"/>
          <w:color w:val="1A1A1A"/>
          <w:kern w:val="0"/>
          <w:szCs w:val="24"/>
        </w:rPr>
      </w:pPr>
      <w:r w:rsidRPr="00FD5ACC">
        <w:rPr>
          <w:rFonts w:ascii="Georgia" w:eastAsia="新細明體" w:hAnsi="Georgia" w:cs="新細明體"/>
          <w:b/>
          <w:bCs/>
          <w:color w:val="0000FF"/>
          <w:kern w:val="0"/>
          <w:sz w:val="27"/>
          <w:szCs w:val="27"/>
        </w:rPr>
        <w:t>5.</w:t>
      </w:r>
      <w:r w:rsidRPr="00FD5ACC">
        <w:rPr>
          <w:rFonts w:ascii="Georgia" w:eastAsia="新細明體" w:hAnsi="Georgia" w:cs="新細明體"/>
          <w:b/>
          <w:bCs/>
          <w:color w:val="0000FF"/>
          <w:kern w:val="0"/>
          <w:sz w:val="27"/>
          <w:szCs w:val="27"/>
        </w:rPr>
        <w:t>合理答案的評估</w:t>
      </w:r>
    </w:p>
    <w:p w:rsidR="00FD5ACC" w:rsidRPr="00FD5ACC" w:rsidRDefault="00FD5ACC" w:rsidP="00FD5ACC">
      <w:pPr>
        <w:widowControl/>
        <w:shd w:val="clear" w:color="auto" w:fill="FFFFFF"/>
        <w:spacing w:after="420"/>
        <w:rPr>
          <w:rFonts w:ascii="Georgia" w:eastAsia="新細明體" w:hAnsi="Georgia" w:cs="新細明體"/>
          <w:color w:val="1A1A1A"/>
          <w:kern w:val="0"/>
          <w:szCs w:val="24"/>
        </w:rPr>
      </w:pPr>
      <w:r w:rsidRPr="00FD5ACC">
        <w:rPr>
          <w:rFonts w:ascii="Georgia" w:eastAsia="新細明體" w:hAnsi="Georgia" w:cs="新細明體"/>
          <w:color w:val="1A1A1A"/>
          <w:kern w:val="0"/>
          <w:sz w:val="27"/>
          <w:szCs w:val="27"/>
        </w:rPr>
        <w:t>協助學生評估這個答案的大約是多少？依據什麼理由來判斷這個答案大概是多少？</w:t>
      </w:r>
    </w:p>
    <w:p w:rsidR="00FD5ACC" w:rsidRPr="00FD5ACC" w:rsidRDefault="00FD5ACC" w:rsidP="00FD5ACC">
      <w:pPr>
        <w:widowControl/>
        <w:shd w:val="clear" w:color="auto" w:fill="FFFFFF"/>
        <w:spacing w:after="420"/>
        <w:rPr>
          <w:rFonts w:ascii="Georgia" w:eastAsia="新細明體" w:hAnsi="Georgia" w:cs="新細明體"/>
          <w:color w:val="1A1A1A"/>
          <w:kern w:val="0"/>
          <w:szCs w:val="24"/>
        </w:rPr>
      </w:pPr>
      <w:r w:rsidRPr="00FD5ACC">
        <w:rPr>
          <w:rFonts w:ascii="Georgia" w:eastAsia="新細明體" w:hAnsi="Georgia" w:cs="新細明體"/>
          <w:b/>
          <w:bCs/>
          <w:color w:val="0000FF"/>
          <w:kern w:val="0"/>
          <w:sz w:val="27"/>
          <w:szCs w:val="27"/>
        </w:rPr>
        <w:t>6.</w:t>
      </w:r>
      <w:r w:rsidRPr="00FD5ACC">
        <w:rPr>
          <w:rFonts w:ascii="Georgia" w:eastAsia="新細明體" w:hAnsi="Georgia" w:cs="新細明體"/>
          <w:b/>
          <w:bCs/>
          <w:color w:val="0000FF"/>
          <w:kern w:val="0"/>
          <w:sz w:val="27"/>
          <w:szCs w:val="27"/>
        </w:rPr>
        <w:t>進行程序執行或計算</w:t>
      </w:r>
    </w:p>
    <w:p w:rsidR="00FD5ACC" w:rsidRPr="00FD5ACC" w:rsidRDefault="00FD5ACC" w:rsidP="00FD5ACC">
      <w:pPr>
        <w:widowControl/>
        <w:shd w:val="clear" w:color="auto" w:fill="FFFFFF"/>
        <w:spacing w:after="420"/>
        <w:rPr>
          <w:rFonts w:ascii="Georgia" w:eastAsia="新細明體" w:hAnsi="Georgia" w:cs="新細明體"/>
          <w:color w:val="1A1A1A"/>
          <w:kern w:val="0"/>
          <w:szCs w:val="24"/>
        </w:rPr>
      </w:pPr>
      <w:r w:rsidRPr="00FD5ACC">
        <w:rPr>
          <w:rFonts w:ascii="Georgia" w:eastAsia="新細明體" w:hAnsi="Georgia" w:cs="新細明體"/>
          <w:color w:val="1A1A1A"/>
          <w:kern w:val="0"/>
          <w:sz w:val="27"/>
          <w:szCs w:val="27"/>
        </w:rPr>
        <w:t>協助學生自我監控（</w:t>
      </w:r>
      <w:r w:rsidRPr="00FD5ACC">
        <w:rPr>
          <w:rFonts w:ascii="Times New Roman" w:eastAsia="新細明體" w:hAnsi="Times New Roman" w:cs="Times New Roman"/>
          <w:i/>
          <w:iCs/>
          <w:color w:val="1A1A1A"/>
          <w:kern w:val="0"/>
          <w:sz w:val="27"/>
          <w:szCs w:val="27"/>
        </w:rPr>
        <w:t>self-monitoring</w:t>
      </w:r>
      <w:r w:rsidRPr="00FD5ACC">
        <w:rPr>
          <w:rFonts w:ascii="Georgia" w:eastAsia="新細明體" w:hAnsi="Georgia" w:cs="新細明體"/>
          <w:color w:val="1A1A1A"/>
          <w:kern w:val="0"/>
          <w:sz w:val="27"/>
          <w:szCs w:val="27"/>
        </w:rPr>
        <w:t>）計算程序和步驟正確嗎？每一步驟計算的結果正確嗎？</w:t>
      </w:r>
    </w:p>
    <w:p w:rsidR="00FD5ACC" w:rsidRPr="00FD5ACC" w:rsidRDefault="00FD5ACC" w:rsidP="00FD5ACC">
      <w:pPr>
        <w:widowControl/>
        <w:shd w:val="clear" w:color="auto" w:fill="FFFFFF"/>
        <w:spacing w:after="420"/>
        <w:rPr>
          <w:rFonts w:ascii="Georgia" w:eastAsia="新細明體" w:hAnsi="Georgia" w:cs="新細明體"/>
          <w:color w:val="1A1A1A"/>
          <w:kern w:val="0"/>
          <w:szCs w:val="24"/>
        </w:rPr>
      </w:pPr>
      <w:r w:rsidRPr="00FD5ACC">
        <w:rPr>
          <w:rFonts w:ascii="Georgia" w:eastAsia="新細明體" w:hAnsi="Georgia" w:cs="新細明體"/>
          <w:b/>
          <w:bCs/>
          <w:color w:val="0000FF"/>
          <w:kern w:val="0"/>
          <w:sz w:val="27"/>
          <w:szCs w:val="27"/>
        </w:rPr>
        <w:t>7.</w:t>
      </w:r>
      <w:r w:rsidRPr="00FD5ACC">
        <w:rPr>
          <w:rFonts w:ascii="Georgia" w:eastAsia="新細明體" w:hAnsi="Georgia" w:cs="新細明體"/>
          <w:b/>
          <w:bCs/>
          <w:color w:val="0000FF"/>
          <w:kern w:val="0"/>
          <w:sz w:val="27"/>
          <w:szCs w:val="27"/>
        </w:rPr>
        <w:t>檢核答案適合性</w:t>
      </w:r>
    </w:p>
    <w:p w:rsidR="00FD5ACC" w:rsidRPr="00FD5ACC" w:rsidRDefault="00FD5ACC" w:rsidP="00FD5ACC">
      <w:pPr>
        <w:widowControl/>
        <w:shd w:val="clear" w:color="auto" w:fill="FFFFFF"/>
        <w:spacing w:after="420"/>
        <w:rPr>
          <w:rFonts w:ascii="Georgia" w:eastAsia="新細明體" w:hAnsi="Georgia" w:cs="新細明體"/>
          <w:color w:val="1A1A1A"/>
          <w:kern w:val="0"/>
          <w:szCs w:val="24"/>
        </w:rPr>
      </w:pPr>
      <w:r w:rsidRPr="00FD5ACC">
        <w:rPr>
          <w:rFonts w:ascii="Georgia" w:eastAsia="新細明體" w:hAnsi="Georgia" w:cs="新細明體"/>
          <w:color w:val="1A1A1A"/>
          <w:kern w:val="0"/>
          <w:sz w:val="27"/>
          <w:szCs w:val="27"/>
        </w:rPr>
        <w:t>計算所得的結果是否符合題目求？要如何檢查計算結果是否正確？學會自我調整（</w:t>
      </w:r>
      <w:r w:rsidRPr="00FD5ACC">
        <w:rPr>
          <w:rFonts w:ascii="Times New Roman" w:eastAsia="新細明體" w:hAnsi="Times New Roman" w:cs="Times New Roman"/>
          <w:i/>
          <w:iCs/>
          <w:color w:val="1A1A1A"/>
          <w:kern w:val="0"/>
          <w:sz w:val="27"/>
          <w:szCs w:val="27"/>
        </w:rPr>
        <w:t>self-regulation</w:t>
      </w:r>
      <w:r w:rsidRPr="00FD5ACC">
        <w:rPr>
          <w:rFonts w:ascii="Georgia" w:eastAsia="新細明體" w:hAnsi="Georgia" w:cs="新細明體"/>
          <w:color w:val="1A1A1A"/>
          <w:kern w:val="0"/>
          <w:sz w:val="27"/>
          <w:szCs w:val="27"/>
        </w:rPr>
        <w:t>）策略，利用要其他不同的計算策略或方法，檢核計算和答案結果。</w:t>
      </w:r>
    </w:p>
    <w:p w:rsidR="00FD5ACC" w:rsidRPr="00FD5ACC" w:rsidRDefault="00FD5ACC" w:rsidP="00FD5ACC">
      <w:pPr>
        <w:widowControl/>
        <w:shd w:val="clear" w:color="auto" w:fill="FFFFFF"/>
        <w:spacing w:after="420"/>
        <w:rPr>
          <w:rFonts w:ascii="Georgia" w:eastAsia="新細明體" w:hAnsi="Georgia" w:cs="新細明體"/>
          <w:color w:val="1A1A1A"/>
          <w:kern w:val="0"/>
          <w:szCs w:val="24"/>
        </w:rPr>
      </w:pPr>
      <w:r w:rsidRPr="00FD5ACC">
        <w:rPr>
          <w:rFonts w:ascii="Georgia" w:eastAsia="新細明體" w:hAnsi="Georgia" w:cs="新細明體"/>
          <w:color w:val="1A1A1A"/>
          <w:kern w:val="0"/>
          <w:szCs w:val="24"/>
        </w:rPr>
        <w:t> </w:t>
      </w:r>
      <w:r w:rsidRPr="00FD5ACC">
        <w:rPr>
          <w:rFonts w:ascii="Georgia" w:eastAsia="新細明體" w:hAnsi="Georgia" w:cs="新細明體"/>
          <w:color w:val="1A1A1A"/>
          <w:kern w:val="0"/>
          <w:sz w:val="27"/>
          <w:szCs w:val="27"/>
        </w:rPr>
        <w:t xml:space="preserve">　　依據十二年國教素養</w:t>
      </w:r>
      <w:proofErr w:type="gramStart"/>
      <w:r w:rsidRPr="00FD5ACC">
        <w:rPr>
          <w:rFonts w:ascii="Georgia" w:eastAsia="新細明體" w:hAnsi="Georgia" w:cs="新細明體"/>
          <w:color w:val="1A1A1A"/>
          <w:kern w:val="0"/>
          <w:sz w:val="27"/>
          <w:szCs w:val="27"/>
        </w:rPr>
        <w:t>導向課綱精神</w:t>
      </w:r>
      <w:proofErr w:type="gramEnd"/>
      <w:r w:rsidRPr="00FD5ACC">
        <w:rPr>
          <w:rFonts w:ascii="Georgia" w:eastAsia="新細明體" w:hAnsi="Georgia" w:cs="新細明體"/>
          <w:color w:val="1A1A1A"/>
          <w:kern w:val="0"/>
          <w:sz w:val="27"/>
          <w:szCs w:val="27"/>
        </w:rPr>
        <w:t>，以翰林版</w:t>
      </w:r>
      <w:r w:rsidRPr="00FD5ACC">
        <w:rPr>
          <w:rFonts w:ascii="Georgia" w:eastAsia="新細明體" w:hAnsi="Georgia" w:cs="新細明體"/>
          <w:color w:val="1A1A1A"/>
          <w:kern w:val="0"/>
          <w:sz w:val="27"/>
          <w:szCs w:val="27"/>
        </w:rPr>
        <w:t>108</w:t>
      </w:r>
      <w:r w:rsidRPr="00FD5ACC">
        <w:rPr>
          <w:rFonts w:ascii="Georgia" w:eastAsia="新細明體" w:hAnsi="Georgia" w:cs="新細明體"/>
          <w:color w:val="1A1A1A"/>
          <w:kern w:val="0"/>
          <w:sz w:val="27"/>
          <w:szCs w:val="27"/>
        </w:rPr>
        <w:t>年</w:t>
      </w:r>
      <w:proofErr w:type="gramStart"/>
      <w:r w:rsidRPr="00FD5ACC">
        <w:rPr>
          <w:rFonts w:ascii="Georgia" w:eastAsia="新細明體" w:hAnsi="Georgia" w:cs="新細明體"/>
          <w:color w:val="1A1A1A"/>
          <w:kern w:val="0"/>
          <w:sz w:val="27"/>
          <w:szCs w:val="27"/>
        </w:rPr>
        <w:t>一</w:t>
      </w:r>
      <w:proofErr w:type="gramEnd"/>
      <w:r w:rsidRPr="00FD5ACC">
        <w:rPr>
          <w:rFonts w:ascii="Georgia" w:eastAsia="新細明體" w:hAnsi="Georgia" w:cs="新細明體"/>
          <w:color w:val="1A1A1A"/>
          <w:kern w:val="0"/>
          <w:sz w:val="27"/>
          <w:szCs w:val="27"/>
        </w:rPr>
        <w:t>上數學課本的「</w:t>
      </w:r>
      <w:r w:rsidRPr="00FD5ACC">
        <w:rPr>
          <w:rFonts w:ascii="Georgia" w:eastAsia="新細明體" w:hAnsi="Georgia" w:cs="新細明體"/>
          <w:color w:val="1A1A1A"/>
          <w:kern w:val="0"/>
          <w:sz w:val="27"/>
          <w:szCs w:val="27"/>
        </w:rPr>
        <w:t>10</w:t>
      </w:r>
      <w:r w:rsidRPr="00FD5ACC">
        <w:rPr>
          <w:rFonts w:ascii="Georgia" w:eastAsia="新細明體" w:hAnsi="Georgia" w:cs="新細明體"/>
          <w:color w:val="1A1A1A"/>
          <w:kern w:val="0"/>
          <w:sz w:val="27"/>
          <w:szCs w:val="27"/>
        </w:rPr>
        <w:t>以內的減法」單元中的</w:t>
      </w:r>
      <w:proofErr w:type="gramStart"/>
      <w:r w:rsidRPr="00FD5ACC">
        <w:rPr>
          <w:rFonts w:ascii="Georgia" w:eastAsia="新細明體" w:hAnsi="Georgia" w:cs="新細明體"/>
          <w:color w:val="1A1A1A"/>
          <w:kern w:val="0"/>
          <w:sz w:val="27"/>
          <w:szCs w:val="27"/>
        </w:rPr>
        <w:t>如下布題為</w:t>
      </w:r>
      <w:proofErr w:type="gramEnd"/>
      <w:r w:rsidRPr="00FD5ACC">
        <w:rPr>
          <w:rFonts w:ascii="Georgia" w:eastAsia="新細明體" w:hAnsi="Georgia" w:cs="新細明體"/>
          <w:color w:val="1A1A1A"/>
          <w:kern w:val="0"/>
          <w:sz w:val="27"/>
          <w:szCs w:val="27"/>
        </w:rPr>
        <w:t>例，是具有提升後設認知的任務設計。所以，善用後設認知教學策略可提升學生的數學素養。</w:t>
      </w:r>
    </w:p>
    <w:p w:rsidR="00FD5ACC" w:rsidRPr="00FD5ACC" w:rsidRDefault="00FD5ACC" w:rsidP="00FD5ACC">
      <w:pPr>
        <w:widowControl/>
        <w:shd w:val="clear" w:color="auto" w:fill="FFFFFF"/>
        <w:spacing w:after="420"/>
        <w:rPr>
          <w:rFonts w:ascii="Georgia" w:eastAsia="新細明體" w:hAnsi="Georgia" w:cs="新細明體"/>
          <w:color w:val="1A1A1A"/>
          <w:kern w:val="0"/>
          <w:szCs w:val="24"/>
        </w:rPr>
      </w:pPr>
      <w:r w:rsidRPr="00FD5ACC">
        <w:rPr>
          <w:rFonts w:ascii="Georgia" w:eastAsia="新細明體" w:hAnsi="Georgia" w:cs="新細明體"/>
          <w:b/>
          <w:bCs/>
          <w:color w:val="1A1A1A"/>
          <w:kern w:val="0"/>
          <w:sz w:val="30"/>
          <w:szCs w:val="30"/>
        </w:rPr>
        <w:t>學習任務</w:t>
      </w:r>
    </w:p>
    <w:p w:rsidR="00FD5ACC" w:rsidRPr="00FD5ACC" w:rsidRDefault="00FD5ACC" w:rsidP="00FD5ACC">
      <w:pPr>
        <w:widowControl/>
        <w:shd w:val="clear" w:color="auto" w:fill="FFFFFF"/>
        <w:spacing w:after="420"/>
        <w:rPr>
          <w:rFonts w:ascii="Georgia" w:eastAsia="新細明體" w:hAnsi="Georgia" w:cs="新細明體"/>
          <w:color w:val="1A1A1A"/>
          <w:kern w:val="0"/>
          <w:szCs w:val="24"/>
        </w:rPr>
      </w:pPr>
      <w:r w:rsidRPr="00FD5ACC">
        <w:rPr>
          <w:rFonts w:ascii="Georgia" w:eastAsia="新細明體" w:hAnsi="Georgia" w:cs="新細明體"/>
          <w:color w:val="1A1A1A"/>
          <w:kern w:val="0"/>
          <w:szCs w:val="24"/>
        </w:rPr>
        <w:t xml:space="preserve">　　</w:t>
      </w:r>
      <w:r w:rsidRPr="00FD5ACC">
        <w:rPr>
          <w:rFonts w:ascii="Georgia" w:eastAsia="新細明體" w:hAnsi="Georgia" w:cs="新細明體"/>
          <w:color w:val="1A1A1A"/>
          <w:kern w:val="0"/>
          <w:sz w:val="27"/>
          <w:szCs w:val="27"/>
        </w:rPr>
        <w:t>低年級學童的識字量不多且閱讀理解能力尚在培養階段，此問題為拿走型問題的改變量未知問題，是學生較不熟悉的問題。</w:t>
      </w:r>
      <w:proofErr w:type="gramStart"/>
      <w:r w:rsidRPr="00FD5ACC">
        <w:rPr>
          <w:rFonts w:ascii="Georgia" w:eastAsia="新細明體" w:hAnsi="Georgia" w:cs="新細明體"/>
          <w:color w:val="1A1A1A"/>
          <w:kern w:val="0"/>
          <w:sz w:val="27"/>
          <w:szCs w:val="27"/>
        </w:rPr>
        <w:t>布題設計</w:t>
      </w:r>
      <w:proofErr w:type="gramEnd"/>
      <w:r w:rsidRPr="00FD5ACC">
        <w:rPr>
          <w:rFonts w:ascii="Georgia" w:eastAsia="新細明體" w:hAnsi="Georgia" w:cs="新細明體"/>
          <w:color w:val="1A1A1A"/>
          <w:kern w:val="0"/>
          <w:sz w:val="27"/>
          <w:szCs w:val="27"/>
        </w:rPr>
        <w:t>透過視覺化圖示，教師可透過後設認知教學策略引導，可提升學生彈性思考的數學素養。</w:t>
      </w:r>
    </w:p>
    <w:p w:rsidR="00FD5ACC" w:rsidRPr="00FD5ACC" w:rsidRDefault="00FD5ACC" w:rsidP="00FD5ACC">
      <w:pPr>
        <w:widowControl/>
        <w:shd w:val="clear" w:color="auto" w:fill="FFFFFF"/>
        <w:spacing w:after="420"/>
        <w:rPr>
          <w:rFonts w:ascii="Georgia" w:eastAsia="新細明體" w:hAnsi="Georgia" w:cs="新細明體"/>
          <w:color w:val="1A1A1A"/>
          <w:kern w:val="0"/>
          <w:szCs w:val="24"/>
        </w:rPr>
      </w:pPr>
      <w:r w:rsidRPr="00FD5ACC">
        <w:rPr>
          <w:rFonts w:ascii="Georgia" w:eastAsia="新細明體" w:hAnsi="Georgia" w:cs="新細明體"/>
          <w:b/>
          <w:bCs/>
          <w:color w:val="1A1A1A"/>
          <w:kern w:val="0"/>
          <w:szCs w:val="24"/>
        </w:rPr>
        <w:t> </w:t>
      </w:r>
      <w:r w:rsidRPr="00FD5ACC">
        <w:rPr>
          <w:rFonts w:ascii="Georgia" w:eastAsia="新細明體" w:hAnsi="Georgia" w:cs="新細明體"/>
          <w:b/>
          <w:bCs/>
          <w:color w:val="1A1A1A"/>
          <w:kern w:val="0"/>
          <w:sz w:val="30"/>
          <w:szCs w:val="30"/>
        </w:rPr>
        <w:t>後設認知教學策略之提問與引導</w:t>
      </w:r>
    </w:p>
    <w:p w:rsidR="00FD5ACC" w:rsidRPr="00FD5ACC" w:rsidRDefault="00FD5ACC" w:rsidP="00FD5ACC">
      <w:pPr>
        <w:widowControl/>
        <w:shd w:val="clear" w:color="auto" w:fill="FFFFFF"/>
        <w:spacing w:after="420"/>
        <w:rPr>
          <w:rFonts w:ascii="Georgia" w:eastAsia="新細明體" w:hAnsi="Georgia" w:cs="新細明體"/>
          <w:color w:val="1A1A1A"/>
          <w:kern w:val="0"/>
          <w:szCs w:val="24"/>
        </w:rPr>
      </w:pPr>
      <w:r w:rsidRPr="00FD5ACC">
        <w:rPr>
          <w:rFonts w:ascii="Georgia" w:eastAsia="新細明體" w:hAnsi="Georgia" w:cs="新細明體"/>
          <w:b/>
          <w:bCs/>
          <w:color w:val="0000FF"/>
          <w:kern w:val="0"/>
          <w:sz w:val="27"/>
          <w:szCs w:val="27"/>
        </w:rPr>
        <w:t>1.</w:t>
      </w:r>
      <w:r w:rsidRPr="00FD5ACC">
        <w:rPr>
          <w:rFonts w:ascii="Georgia" w:eastAsia="新細明體" w:hAnsi="Georgia" w:cs="新細明體"/>
          <w:b/>
          <w:bCs/>
          <w:color w:val="0000FF"/>
          <w:kern w:val="0"/>
          <w:sz w:val="27"/>
          <w:szCs w:val="27"/>
        </w:rPr>
        <w:t>監控閱讀理解與轉譯</w:t>
      </w:r>
    </w:p>
    <w:p w:rsidR="00FD5ACC" w:rsidRPr="00FD5ACC" w:rsidRDefault="00FD5ACC" w:rsidP="00FD5ACC">
      <w:pPr>
        <w:widowControl/>
        <w:shd w:val="clear" w:color="auto" w:fill="FFFFFF"/>
        <w:spacing w:after="420"/>
        <w:rPr>
          <w:rFonts w:ascii="Georgia" w:eastAsia="新細明體" w:hAnsi="Georgia" w:cs="新細明體"/>
          <w:color w:val="1A1A1A"/>
          <w:kern w:val="0"/>
          <w:szCs w:val="24"/>
        </w:rPr>
      </w:pPr>
      <w:r w:rsidRPr="00FD5ACC">
        <w:rPr>
          <w:rFonts w:ascii="Georgia" w:eastAsia="新細明體" w:hAnsi="Georgia" w:cs="新細明體"/>
          <w:color w:val="1A1A1A"/>
          <w:kern w:val="0"/>
          <w:sz w:val="27"/>
          <w:szCs w:val="27"/>
        </w:rPr>
        <w:lastRenderedPageBreak/>
        <w:t>請先把題目念出來，這題目問什麼？你可以用什麼方法問題表示出來？</w:t>
      </w:r>
    </w:p>
    <w:p w:rsidR="00FD5ACC" w:rsidRPr="00FD5ACC" w:rsidRDefault="00FD5ACC" w:rsidP="00FD5ACC">
      <w:pPr>
        <w:widowControl/>
        <w:shd w:val="clear" w:color="auto" w:fill="FFFFFF"/>
        <w:spacing w:after="420"/>
        <w:rPr>
          <w:rFonts w:ascii="Georgia" w:eastAsia="新細明體" w:hAnsi="Georgia" w:cs="新細明體"/>
          <w:color w:val="1A1A1A"/>
          <w:kern w:val="0"/>
          <w:szCs w:val="24"/>
        </w:rPr>
      </w:pPr>
      <w:r w:rsidRPr="00FD5ACC">
        <w:rPr>
          <w:rFonts w:ascii="Georgia" w:eastAsia="新細明體" w:hAnsi="Georgia" w:cs="新細明體"/>
          <w:b/>
          <w:bCs/>
          <w:color w:val="0000FF"/>
          <w:kern w:val="0"/>
          <w:sz w:val="27"/>
          <w:szCs w:val="27"/>
        </w:rPr>
        <w:t>2.</w:t>
      </w:r>
      <w:r w:rsidRPr="00FD5ACC">
        <w:rPr>
          <w:rFonts w:ascii="Georgia" w:eastAsia="新細明體" w:hAnsi="Georgia" w:cs="新細明體"/>
          <w:b/>
          <w:bCs/>
          <w:color w:val="0000FF"/>
          <w:kern w:val="0"/>
          <w:sz w:val="27"/>
          <w:szCs w:val="27"/>
        </w:rPr>
        <w:t>以自己的話語重述題意</w:t>
      </w:r>
    </w:p>
    <w:p w:rsidR="00FD5ACC" w:rsidRPr="00FD5ACC" w:rsidRDefault="00FD5ACC" w:rsidP="00FD5ACC">
      <w:pPr>
        <w:widowControl/>
        <w:shd w:val="clear" w:color="auto" w:fill="FFFFFF"/>
        <w:spacing w:after="420"/>
        <w:rPr>
          <w:rFonts w:ascii="Georgia" w:eastAsia="新細明體" w:hAnsi="Georgia" w:cs="新細明體"/>
          <w:color w:val="1A1A1A"/>
          <w:kern w:val="0"/>
          <w:szCs w:val="24"/>
        </w:rPr>
      </w:pPr>
      <w:r w:rsidRPr="00FD5ACC">
        <w:rPr>
          <w:rFonts w:ascii="Georgia" w:eastAsia="新細明體" w:hAnsi="Georgia" w:cs="新細明體"/>
          <w:color w:val="1A1A1A"/>
          <w:kern w:val="0"/>
          <w:sz w:val="27"/>
          <w:szCs w:val="27"/>
        </w:rPr>
        <w:t>請你用自己的話把這個問題說說看？其他同學幫忙聽聽看，說出來的內容和題目意思有沒有一樣？</w:t>
      </w:r>
    </w:p>
    <w:p w:rsidR="00FD5ACC" w:rsidRPr="00FD5ACC" w:rsidRDefault="00FD5ACC" w:rsidP="00FD5ACC">
      <w:pPr>
        <w:widowControl/>
        <w:shd w:val="clear" w:color="auto" w:fill="FFFFFF"/>
        <w:spacing w:after="420"/>
        <w:rPr>
          <w:rFonts w:ascii="Georgia" w:eastAsia="新細明體" w:hAnsi="Georgia" w:cs="新細明體"/>
          <w:color w:val="1A1A1A"/>
          <w:kern w:val="0"/>
          <w:szCs w:val="24"/>
        </w:rPr>
      </w:pPr>
      <w:r w:rsidRPr="00FD5ACC">
        <w:rPr>
          <w:rFonts w:ascii="Georgia" w:eastAsia="新細明體" w:hAnsi="Georgia" w:cs="新細明體"/>
          <w:b/>
          <w:bCs/>
          <w:color w:val="0000FF"/>
          <w:kern w:val="0"/>
          <w:sz w:val="27"/>
          <w:szCs w:val="27"/>
        </w:rPr>
        <w:t>3.</w:t>
      </w:r>
      <w:r w:rsidRPr="00FD5ACC">
        <w:rPr>
          <w:rFonts w:ascii="Georgia" w:eastAsia="新細明體" w:hAnsi="Georgia" w:cs="新細明體"/>
          <w:b/>
          <w:bCs/>
          <w:color w:val="0000FF"/>
          <w:kern w:val="0"/>
          <w:sz w:val="27"/>
          <w:szCs w:val="27"/>
        </w:rPr>
        <w:t>視覺化的表徵呈現</w:t>
      </w:r>
    </w:p>
    <w:p w:rsidR="00FD5ACC" w:rsidRPr="00FD5ACC" w:rsidRDefault="00FD5ACC" w:rsidP="00FD5ACC">
      <w:pPr>
        <w:widowControl/>
        <w:shd w:val="clear" w:color="auto" w:fill="FFFFFF"/>
        <w:spacing w:after="420"/>
        <w:rPr>
          <w:rFonts w:ascii="Georgia" w:eastAsia="新細明體" w:hAnsi="Georgia" w:cs="新細明體"/>
          <w:color w:val="1A1A1A"/>
          <w:kern w:val="0"/>
          <w:szCs w:val="24"/>
        </w:rPr>
      </w:pPr>
      <w:r w:rsidRPr="00FD5ACC">
        <w:rPr>
          <w:rFonts w:ascii="Georgia" w:eastAsia="新細明體" w:hAnsi="Georgia" w:cs="新細明體"/>
          <w:color w:val="1A1A1A"/>
          <w:kern w:val="0"/>
          <w:sz w:val="27"/>
          <w:szCs w:val="27"/>
        </w:rPr>
        <w:t>請你用畫</w:t>
      </w:r>
      <w:r w:rsidRPr="00FD5ACC">
        <w:rPr>
          <w:rFonts w:ascii="Times New Roman" w:eastAsia="新細明體" w:hAnsi="Times New Roman" w:cs="Times New Roman"/>
          <w:color w:val="1A1A1A"/>
          <w:kern w:val="0"/>
          <w:sz w:val="27"/>
          <w:szCs w:val="27"/>
        </w:rPr>
        <w:t>○</w:t>
      </w:r>
      <w:r w:rsidRPr="00FD5ACC">
        <w:rPr>
          <w:rFonts w:ascii="Georgia" w:eastAsia="新細明體" w:hAnsi="Georgia" w:cs="新細明體"/>
          <w:color w:val="1A1A1A"/>
          <w:kern w:val="0"/>
          <w:sz w:val="27"/>
          <w:szCs w:val="27"/>
        </w:rPr>
        <w:t>表示原來的氣球，指出哪些是沒飛走的氣球？哪些是飛走的氣球？</w:t>
      </w:r>
    </w:p>
    <w:p w:rsidR="00FD5ACC" w:rsidRPr="00FD5ACC" w:rsidRDefault="00FD5ACC" w:rsidP="00FD5ACC">
      <w:pPr>
        <w:widowControl/>
        <w:shd w:val="clear" w:color="auto" w:fill="FFFFFF"/>
        <w:spacing w:after="420"/>
        <w:rPr>
          <w:rFonts w:ascii="Georgia" w:eastAsia="新細明體" w:hAnsi="Georgia" w:cs="新細明體"/>
          <w:color w:val="1A1A1A"/>
          <w:kern w:val="0"/>
          <w:szCs w:val="24"/>
        </w:rPr>
      </w:pPr>
      <w:r w:rsidRPr="00FD5ACC">
        <w:rPr>
          <w:rFonts w:ascii="Georgia" w:eastAsia="新細明體" w:hAnsi="Georgia" w:cs="新細明體"/>
          <w:b/>
          <w:bCs/>
          <w:color w:val="0000FF"/>
          <w:kern w:val="0"/>
          <w:sz w:val="27"/>
          <w:szCs w:val="27"/>
        </w:rPr>
        <w:t>4.</w:t>
      </w:r>
      <w:r w:rsidRPr="00FD5ACC">
        <w:rPr>
          <w:rFonts w:ascii="Georgia" w:eastAsia="新細明體" w:hAnsi="Georgia" w:cs="新細明體"/>
          <w:b/>
          <w:bCs/>
          <w:color w:val="0000FF"/>
          <w:kern w:val="0"/>
          <w:sz w:val="27"/>
          <w:szCs w:val="27"/>
        </w:rPr>
        <w:t>提出解題策略與規劃</w:t>
      </w:r>
    </w:p>
    <w:p w:rsidR="00FD5ACC" w:rsidRPr="00FD5ACC" w:rsidRDefault="00FD5ACC" w:rsidP="00FD5ACC">
      <w:pPr>
        <w:widowControl/>
        <w:shd w:val="clear" w:color="auto" w:fill="FFFFFF"/>
        <w:spacing w:after="420"/>
        <w:rPr>
          <w:rFonts w:ascii="Georgia" w:eastAsia="新細明體" w:hAnsi="Georgia" w:cs="新細明體"/>
          <w:color w:val="1A1A1A"/>
          <w:kern w:val="0"/>
          <w:szCs w:val="24"/>
        </w:rPr>
      </w:pPr>
      <w:r w:rsidRPr="00FD5ACC">
        <w:rPr>
          <w:rFonts w:ascii="Georgia" w:eastAsia="新細明體" w:hAnsi="Georgia" w:cs="新細明體"/>
          <w:color w:val="1A1A1A"/>
          <w:kern w:val="0"/>
          <w:sz w:val="27"/>
          <w:szCs w:val="27"/>
        </w:rPr>
        <w:t>題目請你用什麼表示飛走的氣球？要用哪一種計算方法？</w:t>
      </w:r>
    </w:p>
    <w:p w:rsidR="00FD5ACC" w:rsidRPr="00FD5ACC" w:rsidRDefault="00FD5ACC" w:rsidP="00FD5ACC">
      <w:pPr>
        <w:widowControl/>
        <w:shd w:val="clear" w:color="auto" w:fill="FFFFFF"/>
        <w:spacing w:after="420"/>
        <w:rPr>
          <w:rFonts w:ascii="Georgia" w:eastAsia="新細明體" w:hAnsi="Georgia" w:cs="新細明體"/>
          <w:color w:val="1A1A1A"/>
          <w:kern w:val="0"/>
          <w:szCs w:val="24"/>
        </w:rPr>
      </w:pPr>
      <w:r w:rsidRPr="00FD5ACC">
        <w:rPr>
          <w:rFonts w:ascii="Georgia" w:eastAsia="新細明體" w:hAnsi="Georgia" w:cs="新細明體"/>
          <w:b/>
          <w:bCs/>
          <w:color w:val="0000FF"/>
          <w:kern w:val="0"/>
          <w:sz w:val="27"/>
          <w:szCs w:val="27"/>
        </w:rPr>
        <w:t>5.</w:t>
      </w:r>
      <w:r w:rsidRPr="00FD5ACC">
        <w:rPr>
          <w:rFonts w:ascii="Georgia" w:eastAsia="新細明體" w:hAnsi="Georgia" w:cs="新細明體"/>
          <w:b/>
          <w:bCs/>
          <w:color w:val="0000FF"/>
          <w:kern w:val="0"/>
          <w:sz w:val="27"/>
          <w:szCs w:val="27"/>
        </w:rPr>
        <w:t>合理答案的評估</w:t>
      </w:r>
    </w:p>
    <w:p w:rsidR="00FD5ACC" w:rsidRPr="00FD5ACC" w:rsidRDefault="00FD5ACC" w:rsidP="00FD5ACC">
      <w:pPr>
        <w:widowControl/>
        <w:shd w:val="clear" w:color="auto" w:fill="FFFFFF"/>
        <w:spacing w:after="420"/>
        <w:rPr>
          <w:rFonts w:ascii="Georgia" w:eastAsia="新細明體" w:hAnsi="Georgia" w:cs="新細明體"/>
          <w:color w:val="1A1A1A"/>
          <w:kern w:val="0"/>
          <w:szCs w:val="24"/>
        </w:rPr>
      </w:pPr>
      <w:r w:rsidRPr="00FD5ACC">
        <w:rPr>
          <w:rFonts w:ascii="Georgia" w:eastAsia="新細明體" w:hAnsi="Georgia" w:cs="新細明體"/>
          <w:color w:val="1A1A1A"/>
          <w:kern w:val="0"/>
          <w:sz w:val="27"/>
          <w:szCs w:val="27"/>
        </w:rPr>
        <w:t>飛走的氣球會比</w:t>
      </w:r>
      <w:r w:rsidRPr="00FD5ACC">
        <w:rPr>
          <w:rFonts w:ascii="Georgia" w:eastAsia="新細明體" w:hAnsi="Georgia" w:cs="新細明體"/>
          <w:color w:val="1A1A1A"/>
          <w:kern w:val="0"/>
          <w:sz w:val="27"/>
          <w:szCs w:val="27"/>
        </w:rPr>
        <w:t>7</w:t>
      </w:r>
      <w:r w:rsidRPr="00FD5ACC">
        <w:rPr>
          <w:rFonts w:ascii="Georgia" w:eastAsia="新細明體" w:hAnsi="Georgia" w:cs="新細明體"/>
          <w:color w:val="1A1A1A"/>
          <w:kern w:val="0"/>
          <w:sz w:val="27"/>
          <w:szCs w:val="27"/>
        </w:rPr>
        <w:t>多嗎？答案大約是多少？</w:t>
      </w:r>
    </w:p>
    <w:p w:rsidR="00FD5ACC" w:rsidRPr="00FD5ACC" w:rsidRDefault="00FD5ACC" w:rsidP="00FD5ACC">
      <w:pPr>
        <w:widowControl/>
        <w:shd w:val="clear" w:color="auto" w:fill="FFFFFF"/>
        <w:spacing w:after="420"/>
        <w:rPr>
          <w:rFonts w:ascii="Georgia" w:eastAsia="新細明體" w:hAnsi="Georgia" w:cs="新細明體"/>
          <w:color w:val="1A1A1A"/>
          <w:kern w:val="0"/>
          <w:szCs w:val="24"/>
        </w:rPr>
      </w:pPr>
      <w:r w:rsidRPr="00FD5ACC">
        <w:rPr>
          <w:rFonts w:ascii="Georgia" w:eastAsia="新細明體" w:hAnsi="Georgia" w:cs="新細明體"/>
          <w:b/>
          <w:bCs/>
          <w:color w:val="0000FF"/>
          <w:kern w:val="0"/>
          <w:sz w:val="27"/>
          <w:szCs w:val="27"/>
        </w:rPr>
        <w:t>6.</w:t>
      </w:r>
      <w:r w:rsidRPr="00FD5ACC">
        <w:rPr>
          <w:rFonts w:ascii="Georgia" w:eastAsia="新細明體" w:hAnsi="Georgia" w:cs="新細明體"/>
          <w:b/>
          <w:bCs/>
          <w:color w:val="0000FF"/>
          <w:kern w:val="0"/>
          <w:sz w:val="27"/>
          <w:szCs w:val="27"/>
        </w:rPr>
        <w:t>進行程序執行或計算</w:t>
      </w:r>
    </w:p>
    <w:p w:rsidR="00FD5ACC" w:rsidRPr="00FD5ACC" w:rsidRDefault="00FD5ACC" w:rsidP="00FD5ACC">
      <w:pPr>
        <w:widowControl/>
        <w:shd w:val="clear" w:color="auto" w:fill="FFFFFF"/>
        <w:spacing w:after="420"/>
        <w:rPr>
          <w:rFonts w:ascii="Georgia" w:eastAsia="新細明體" w:hAnsi="Georgia" w:cs="新細明體"/>
          <w:color w:val="1A1A1A"/>
          <w:kern w:val="0"/>
          <w:szCs w:val="24"/>
        </w:rPr>
      </w:pPr>
      <w:r w:rsidRPr="00FD5ACC">
        <w:rPr>
          <w:rFonts w:ascii="Georgia" w:eastAsia="新細明體" w:hAnsi="Georgia" w:cs="新細明體"/>
          <w:color w:val="1A1A1A"/>
          <w:kern w:val="0"/>
          <w:sz w:val="27"/>
          <w:szCs w:val="27"/>
        </w:rPr>
        <w:t>列出的算式要如何算出答案？答案是指哪些氣球？</w:t>
      </w:r>
    </w:p>
    <w:p w:rsidR="00FD5ACC" w:rsidRPr="00FD5ACC" w:rsidRDefault="00FD5ACC" w:rsidP="00FD5ACC">
      <w:pPr>
        <w:widowControl/>
        <w:shd w:val="clear" w:color="auto" w:fill="FFFFFF"/>
        <w:spacing w:after="420"/>
        <w:rPr>
          <w:rFonts w:ascii="Georgia" w:eastAsia="新細明體" w:hAnsi="Georgia" w:cs="新細明體"/>
          <w:color w:val="1A1A1A"/>
          <w:kern w:val="0"/>
          <w:szCs w:val="24"/>
        </w:rPr>
      </w:pPr>
      <w:r w:rsidRPr="00FD5ACC">
        <w:rPr>
          <w:rFonts w:ascii="Georgia" w:eastAsia="新細明體" w:hAnsi="Georgia" w:cs="新細明體"/>
          <w:b/>
          <w:bCs/>
          <w:color w:val="0000FF"/>
          <w:kern w:val="0"/>
          <w:sz w:val="27"/>
          <w:szCs w:val="27"/>
        </w:rPr>
        <w:t>7.</w:t>
      </w:r>
      <w:r w:rsidRPr="00FD5ACC">
        <w:rPr>
          <w:rFonts w:ascii="Georgia" w:eastAsia="新細明體" w:hAnsi="Georgia" w:cs="新細明體"/>
          <w:b/>
          <w:bCs/>
          <w:color w:val="0000FF"/>
          <w:kern w:val="0"/>
          <w:sz w:val="27"/>
          <w:szCs w:val="27"/>
        </w:rPr>
        <w:t>檢核答案適合性</w:t>
      </w:r>
    </w:p>
    <w:p w:rsidR="00FD5ACC" w:rsidRPr="00FD5ACC" w:rsidRDefault="00FD5ACC" w:rsidP="00FD5ACC">
      <w:pPr>
        <w:widowControl/>
        <w:shd w:val="clear" w:color="auto" w:fill="FFFFFF"/>
        <w:spacing w:after="420"/>
        <w:rPr>
          <w:rFonts w:ascii="Georgia" w:eastAsia="新細明體" w:hAnsi="Georgia" w:cs="新細明體"/>
          <w:color w:val="1A1A1A"/>
          <w:kern w:val="0"/>
          <w:szCs w:val="24"/>
        </w:rPr>
      </w:pPr>
      <w:r w:rsidRPr="00FD5ACC">
        <w:rPr>
          <w:rFonts w:ascii="Georgia" w:eastAsia="新細明體" w:hAnsi="Georgia" w:cs="新細明體"/>
          <w:color w:val="1A1A1A"/>
          <w:kern w:val="0"/>
          <w:sz w:val="27"/>
          <w:szCs w:val="27"/>
        </w:rPr>
        <w:t>要怎麼知道你的答案是對的？有沒有其他方法可以檢查。</w:t>
      </w:r>
    </w:p>
    <w:p w:rsidR="00FD5ACC" w:rsidRPr="00FD5ACC" w:rsidRDefault="00FD5ACC" w:rsidP="00FD5ACC">
      <w:pPr>
        <w:widowControl/>
        <w:shd w:val="clear" w:color="auto" w:fill="FFFFFF"/>
        <w:spacing w:after="420"/>
        <w:rPr>
          <w:rFonts w:ascii="Georgia" w:eastAsia="新細明體" w:hAnsi="Georgia" w:cs="新細明體"/>
          <w:color w:val="1A1A1A"/>
          <w:kern w:val="0"/>
          <w:szCs w:val="24"/>
        </w:rPr>
      </w:pPr>
      <w:r w:rsidRPr="00FD5ACC">
        <w:rPr>
          <w:rFonts w:ascii="Georgia" w:eastAsia="新細明體" w:hAnsi="Georgia" w:cs="新細明體"/>
          <w:b/>
          <w:bCs/>
          <w:color w:val="1A1A1A"/>
          <w:kern w:val="0"/>
          <w:szCs w:val="24"/>
        </w:rPr>
        <w:t> </w:t>
      </w:r>
      <w:r w:rsidRPr="00FD5ACC">
        <w:rPr>
          <w:rFonts w:ascii="Georgia" w:eastAsia="新細明體" w:hAnsi="Georgia" w:cs="新細明體"/>
          <w:b/>
          <w:bCs/>
          <w:color w:val="1A1A1A"/>
          <w:kern w:val="0"/>
          <w:sz w:val="30"/>
          <w:szCs w:val="30"/>
        </w:rPr>
        <w:t>四、總結</w:t>
      </w:r>
    </w:p>
    <w:p w:rsidR="00FD5ACC" w:rsidRPr="00FD5ACC" w:rsidRDefault="00FD5ACC" w:rsidP="00FD5ACC">
      <w:pPr>
        <w:widowControl/>
        <w:shd w:val="clear" w:color="auto" w:fill="FFFFFF"/>
        <w:spacing w:after="420"/>
        <w:rPr>
          <w:rFonts w:ascii="Georgia" w:eastAsia="新細明體" w:hAnsi="Georgia" w:cs="新細明體"/>
          <w:color w:val="1A1A1A"/>
          <w:kern w:val="0"/>
          <w:szCs w:val="24"/>
        </w:rPr>
      </w:pPr>
      <w:r w:rsidRPr="00FD5ACC">
        <w:rPr>
          <w:rFonts w:ascii="Georgia" w:eastAsia="新細明體" w:hAnsi="Georgia" w:cs="新細明體"/>
          <w:color w:val="1A1A1A"/>
          <w:kern w:val="0"/>
          <w:szCs w:val="24"/>
        </w:rPr>
        <w:t xml:space="preserve">　</w:t>
      </w:r>
      <w:r w:rsidRPr="00FD5ACC">
        <w:rPr>
          <w:rFonts w:ascii="Georgia" w:eastAsia="新細明體" w:hAnsi="Georgia" w:cs="新細明體"/>
          <w:color w:val="1A1A1A"/>
          <w:kern w:val="0"/>
          <w:sz w:val="27"/>
          <w:szCs w:val="27"/>
        </w:rPr>
        <w:t xml:space="preserve">　後設認知不是新的名詞，但近年來各國素養導向的數學課程改革，都可以看到數學後設認知再度受到重視。在教學現場，常可以聽過學生說：「老師，這題我會算，我只是算錯」。其實解題錯誤的原因之一，往往是因為解題者缺乏後設認知。其次，後設認知被</w:t>
      </w:r>
      <w:proofErr w:type="gramStart"/>
      <w:r w:rsidRPr="00FD5ACC">
        <w:rPr>
          <w:rFonts w:ascii="Georgia" w:eastAsia="新細明體" w:hAnsi="Georgia" w:cs="新細明體"/>
          <w:color w:val="1A1A1A"/>
          <w:kern w:val="0"/>
          <w:sz w:val="27"/>
          <w:szCs w:val="27"/>
        </w:rPr>
        <w:t>被</w:t>
      </w:r>
      <w:proofErr w:type="gramEnd"/>
      <w:r w:rsidRPr="00FD5ACC">
        <w:rPr>
          <w:rFonts w:ascii="Georgia" w:eastAsia="新細明體" w:hAnsi="Georgia" w:cs="新細明體"/>
          <w:color w:val="1A1A1A"/>
          <w:kern w:val="0"/>
          <w:sz w:val="27"/>
          <w:szCs w:val="27"/>
        </w:rPr>
        <w:t>視為素養的成分之</w:t>
      </w:r>
      <w:proofErr w:type="gramStart"/>
      <w:r w:rsidRPr="00FD5ACC">
        <w:rPr>
          <w:rFonts w:ascii="Georgia" w:eastAsia="新細明體" w:hAnsi="Georgia" w:cs="新細明體"/>
          <w:color w:val="1A1A1A"/>
          <w:kern w:val="0"/>
          <w:sz w:val="27"/>
          <w:szCs w:val="27"/>
        </w:rPr>
        <w:t>一</w:t>
      </w:r>
      <w:proofErr w:type="gramEnd"/>
      <w:r w:rsidRPr="00FD5ACC">
        <w:rPr>
          <w:rFonts w:ascii="Georgia" w:eastAsia="新細明體" w:hAnsi="Georgia" w:cs="新細明體"/>
          <w:color w:val="1A1A1A"/>
          <w:kern w:val="0"/>
          <w:sz w:val="27"/>
          <w:szCs w:val="27"/>
        </w:rPr>
        <w:t>。相當多的實證研究文獻有證實，低年級階段可以開始透過數學後</w:t>
      </w:r>
      <w:r w:rsidRPr="00FD5ACC">
        <w:rPr>
          <w:rFonts w:ascii="Georgia" w:eastAsia="新細明體" w:hAnsi="Georgia" w:cs="新細明體"/>
          <w:color w:val="1A1A1A"/>
          <w:kern w:val="0"/>
          <w:sz w:val="27"/>
          <w:szCs w:val="27"/>
        </w:rPr>
        <w:lastRenderedPageBreak/>
        <w:t>設認知教學策略，讓學生學會後設認知知識與策略，進而提升數學素養。因此，讓我們宜從低年級開始培養學生數學後設認知，讓後設認知成為數學學習與素養涵育的墊腳石。</w:t>
      </w:r>
    </w:p>
    <w:p w:rsidR="00FD5ACC" w:rsidRPr="00FD5ACC" w:rsidRDefault="00FD5ACC" w:rsidP="00FD5ACC">
      <w:pPr>
        <w:widowControl/>
        <w:shd w:val="clear" w:color="auto" w:fill="FFFFFF"/>
        <w:spacing w:after="420"/>
        <w:rPr>
          <w:rFonts w:ascii="Georgia" w:eastAsia="新細明體" w:hAnsi="Georgia" w:cs="新細明體"/>
          <w:color w:val="1A1A1A"/>
          <w:kern w:val="0"/>
          <w:szCs w:val="24"/>
        </w:rPr>
      </w:pPr>
      <w:r w:rsidRPr="00FD5ACC">
        <w:rPr>
          <w:rFonts w:ascii="Georgia" w:eastAsia="新細明體" w:hAnsi="Georgia" w:cs="新細明體"/>
          <w:color w:val="1A1A1A"/>
          <w:kern w:val="0"/>
          <w:szCs w:val="24"/>
        </w:rPr>
        <w:t> </w:t>
      </w:r>
      <w:r w:rsidRPr="00FD5ACC">
        <w:rPr>
          <w:rFonts w:ascii="Georgia" w:eastAsia="新細明體" w:hAnsi="Georgia" w:cs="新細明體"/>
          <w:color w:val="1A1A1A"/>
          <w:kern w:val="0"/>
          <w:sz w:val="21"/>
          <w:szCs w:val="21"/>
        </w:rPr>
        <w:t>（本文原刊載於《翰林</w:t>
      </w:r>
      <w:r w:rsidRPr="00FD5ACC">
        <w:rPr>
          <w:rFonts w:ascii="Georgia" w:eastAsia="新細明體" w:hAnsi="Georgia" w:cs="新細明體"/>
          <w:color w:val="1A1A1A"/>
          <w:kern w:val="0"/>
          <w:sz w:val="21"/>
          <w:szCs w:val="21"/>
        </w:rPr>
        <w:t>12</w:t>
      </w:r>
      <w:r w:rsidRPr="00FD5ACC">
        <w:rPr>
          <w:rFonts w:ascii="Georgia" w:eastAsia="新細明體" w:hAnsi="Georgia" w:cs="新細明體"/>
          <w:color w:val="1A1A1A"/>
          <w:kern w:val="0"/>
          <w:sz w:val="21"/>
          <w:szCs w:val="21"/>
        </w:rPr>
        <w:t>年國教課綱期刊》）</w:t>
      </w:r>
    </w:p>
    <w:p w:rsidR="00FD5ACC" w:rsidRPr="00FD5ACC" w:rsidRDefault="00FD5ACC" w:rsidP="00FD5ACC">
      <w:pPr>
        <w:widowControl/>
        <w:shd w:val="clear" w:color="auto" w:fill="FFFFFF"/>
        <w:spacing w:after="420"/>
        <w:rPr>
          <w:rFonts w:ascii="Georgia" w:eastAsia="新細明體" w:hAnsi="Georgia" w:cs="新細明體"/>
          <w:color w:val="1A1A1A"/>
          <w:kern w:val="0"/>
          <w:szCs w:val="24"/>
        </w:rPr>
      </w:pPr>
      <w:r w:rsidRPr="00FD5ACC">
        <w:rPr>
          <w:rFonts w:ascii="Georgia" w:eastAsia="新細明體" w:hAnsi="Georgia" w:cs="新細明體"/>
          <w:color w:val="1A1A1A"/>
          <w:kern w:val="0"/>
          <w:szCs w:val="24"/>
        </w:rPr>
        <w:t> </w:t>
      </w:r>
    </w:p>
    <w:p w:rsidR="00FD5ACC" w:rsidRPr="00FD5ACC" w:rsidRDefault="00FD5ACC" w:rsidP="00FD5ACC">
      <w:pPr>
        <w:widowControl/>
        <w:shd w:val="clear" w:color="auto" w:fill="FFFFFF"/>
        <w:spacing w:after="420"/>
        <w:rPr>
          <w:rFonts w:ascii="Georgia" w:eastAsia="新細明體" w:hAnsi="Georgia" w:cs="新細明體"/>
          <w:color w:val="1A1A1A"/>
          <w:kern w:val="0"/>
          <w:szCs w:val="24"/>
        </w:rPr>
      </w:pPr>
      <w:r w:rsidRPr="00FD5ACC">
        <w:rPr>
          <w:rFonts w:ascii="Georgia" w:eastAsia="新細明體" w:hAnsi="Georgia" w:cs="新細明體"/>
          <w:b/>
          <w:bCs/>
          <w:color w:val="1A1A1A"/>
          <w:kern w:val="0"/>
          <w:szCs w:val="24"/>
        </w:rPr>
        <w:t>參考文獻</w:t>
      </w:r>
    </w:p>
    <w:p w:rsidR="00FD5ACC" w:rsidRPr="00FD5ACC" w:rsidRDefault="00FD5ACC" w:rsidP="00FD5ACC">
      <w:pPr>
        <w:widowControl/>
        <w:shd w:val="clear" w:color="auto" w:fill="FFFFFF"/>
        <w:spacing w:after="420"/>
        <w:rPr>
          <w:rFonts w:ascii="Georgia" w:eastAsia="新細明體" w:hAnsi="Georgia" w:cs="新細明體"/>
          <w:color w:val="1A1A1A"/>
          <w:kern w:val="0"/>
          <w:szCs w:val="24"/>
        </w:rPr>
      </w:pPr>
      <w:r w:rsidRPr="00FD5ACC">
        <w:rPr>
          <w:rFonts w:ascii="Times New Roman" w:eastAsia="新細明體" w:hAnsi="Times New Roman" w:cs="Times New Roman"/>
          <w:color w:val="1A1A1A"/>
          <w:kern w:val="0"/>
          <w:sz w:val="21"/>
          <w:szCs w:val="21"/>
        </w:rPr>
        <w:t>教育部</w:t>
      </w:r>
      <w:r w:rsidRPr="00FD5ACC">
        <w:rPr>
          <w:rFonts w:ascii="Times New Roman" w:eastAsia="新細明體" w:hAnsi="Times New Roman" w:cs="Times New Roman"/>
          <w:color w:val="1A1A1A"/>
          <w:kern w:val="0"/>
          <w:sz w:val="21"/>
          <w:szCs w:val="21"/>
        </w:rPr>
        <w:t>(2014)</w:t>
      </w:r>
      <w:r w:rsidRPr="00FD5ACC">
        <w:rPr>
          <w:rFonts w:ascii="Times New Roman" w:eastAsia="新細明體" w:hAnsi="Times New Roman" w:cs="Times New Roman"/>
          <w:color w:val="1A1A1A"/>
          <w:kern w:val="0"/>
          <w:sz w:val="21"/>
          <w:szCs w:val="21"/>
        </w:rPr>
        <w:t>：十二年國民基本教育課程綱要總綱。臺北市：教育部</w:t>
      </w:r>
    </w:p>
    <w:p w:rsidR="00FD5ACC" w:rsidRPr="00FD5ACC" w:rsidRDefault="00FD5ACC" w:rsidP="00FD5ACC">
      <w:pPr>
        <w:widowControl/>
        <w:shd w:val="clear" w:color="auto" w:fill="FFFFFF"/>
        <w:spacing w:after="420"/>
        <w:rPr>
          <w:rFonts w:ascii="Georgia" w:eastAsia="新細明體" w:hAnsi="Georgia" w:cs="新細明體"/>
          <w:color w:val="1A1A1A"/>
          <w:kern w:val="0"/>
          <w:szCs w:val="24"/>
        </w:rPr>
      </w:pPr>
      <w:proofErr w:type="gramStart"/>
      <w:r w:rsidRPr="00FD5ACC">
        <w:rPr>
          <w:rFonts w:ascii="Times New Roman" w:eastAsia="新細明體" w:hAnsi="Times New Roman" w:cs="Times New Roman"/>
          <w:i/>
          <w:iCs/>
          <w:color w:val="1A1A1A"/>
          <w:kern w:val="0"/>
          <w:sz w:val="21"/>
          <w:szCs w:val="21"/>
        </w:rPr>
        <w:t xml:space="preserve">Yore, L. D., </w:t>
      </w:r>
      <w:proofErr w:type="spellStart"/>
      <w:r w:rsidRPr="00FD5ACC">
        <w:rPr>
          <w:rFonts w:ascii="Times New Roman" w:eastAsia="新細明體" w:hAnsi="Times New Roman" w:cs="Times New Roman"/>
          <w:i/>
          <w:iCs/>
          <w:color w:val="1A1A1A"/>
          <w:kern w:val="0"/>
          <w:sz w:val="21"/>
          <w:szCs w:val="21"/>
        </w:rPr>
        <w:t>Pimm</w:t>
      </w:r>
      <w:proofErr w:type="spellEnd"/>
      <w:r w:rsidRPr="00FD5ACC">
        <w:rPr>
          <w:rFonts w:ascii="Times New Roman" w:eastAsia="新細明體" w:hAnsi="Times New Roman" w:cs="Times New Roman"/>
          <w:i/>
          <w:iCs/>
          <w:color w:val="1A1A1A"/>
          <w:kern w:val="0"/>
          <w:sz w:val="21"/>
          <w:szCs w:val="21"/>
        </w:rPr>
        <w:t>, D., &amp; Tuan, H. L.</w:t>
      </w:r>
      <w:r w:rsidRPr="00FD5ACC">
        <w:rPr>
          <w:rFonts w:ascii="Times New Roman" w:eastAsia="新細明體" w:hAnsi="Times New Roman" w:cs="Times New Roman"/>
          <w:color w:val="1A1A1A"/>
          <w:kern w:val="0"/>
          <w:sz w:val="21"/>
          <w:szCs w:val="21"/>
        </w:rPr>
        <w:t> (2007)</w:t>
      </w:r>
      <w:r w:rsidRPr="00FD5ACC">
        <w:rPr>
          <w:rFonts w:ascii="Times New Roman" w:eastAsia="新細明體" w:hAnsi="Times New Roman" w:cs="Times New Roman"/>
          <w:i/>
          <w:iCs/>
          <w:color w:val="1A1A1A"/>
          <w:kern w:val="0"/>
          <w:sz w:val="21"/>
          <w:szCs w:val="21"/>
        </w:rPr>
        <w:t>.</w:t>
      </w:r>
      <w:proofErr w:type="gramEnd"/>
      <w:r w:rsidRPr="00FD5ACC">
        <w:rPr>
          <w:rFonts w:ascii="Times New Roman" w:eastAsia="新細明體" w:hAnsi="Times New Roman" w:cs="Times New Roman"/>
          <w:i/>
          <w:iCs/>
          <w:color w:val="1A1A1A"/>
          <w:kern w:val="0"/>
          <w:sz w:val="21"/>
          <w:szCs w:val="21"/>
        </w:rPr>
        <w:t xml:space="preserve"> </w:t>
      </w:r>
      <w:proofErr w:type="gramStart"/>
      <w:r w:rsidRPr="00FD5ACC">
        <w:rPr>
          <w:rFonts w:ascii="Times New Roman" w:eastAsia="新細明體" w:hAnsi="Times New Roman" w:cs="Times New Roman"/>
          <w:i/>
          <w:iCs/>
          <w:color w:val="1A1A1A"/>
          <w:kern w:val="0"/>
          <w:sz w:val="21"/>
          <w:szCs w:val="21"/>
        </w:rPr>
        <w:t>The literacy component of mathematical and scientific literacy.</w:t>
      </w:r>
      <w:proofErr w:type="gramEnd"/>
      <w:r w:rsidRPr="00FD5ACC">
        <w:rPr>
          <w:rFonts w:ascii="Times New Roman" w:eastAsia="新細明體" w:hAnsi="Times New Roman" w:cs="Times New Roman"/>
          <w:i/>
          <w:iCs/>
          <w:color w:val="1A1A1A"/>
          <w:kern w:val="0"/>
          <w:sz w:val="21"/>
          <w:szCs w:val="21"/>
        </w:rPr>
        <w:t xml:space="preserve"> International Journal of Science and Mathematics Education, </w:t>
      </w:r>
      <w:r w:rsidRPr="00FD5ACC">
        <w:rPr>
          <w:rFonts w:ascii="Times New Roman" w:eastAsia="新細明體" w:hAnsi="Times New Roman" w:cs="Times New Roman"/>
          <w:color w:val="1A1A1A"/>
          <w:kern w:val="0"/>
          <w:sz w:val="21"/>
          <w:szCs w:val="21"/>
        </w:rPr>
        <w:t>5, 559-589</w:t>
      </w:r>
      <w:r w:rsidRPr="00FD5ACC">
        <w:rPr>
          <w:rFonts w:ascii="Times New Roman" w:eastAsia="新細明體" w:hAnsi="Times New Roman" w:cs="Times New Roman"/>
          <w:i/>
          <w:iCs/>
          <w:color w:val="1A1A1A"/>
          <w:kern w:val="0"/>
          <w:sz w:val="21"/>
          <w:szCs w:val="21"/>
        </w:rPr>
        <w:t>.</w:t>
      </w:r>
    </w:p>
    <w:p w:rsidR="00FD5ACC" w:rsidRPr="00FD5ACC" w:rsidRDefault="00FD5ACC" w:rsidP="00FD5ACC">
      <w:pPr>
        <w:widowControl/>
        <w:shd w:val="clear" w:color="auto" w:fill="FFFFFF"/>
        <w:spacing w:after="420"/>
        <w:rPr>
          <w:rFonts w:ascii="Georgia" w:eastAsia="新細明體" w:hAnsi="Georgia" w:cs="新細明體"/>
          <w:color w:val="1A1A1A"/>
          <w:kern w:val="0"/>
          <w:szCs w:val="24"/>
        </w:rPr>
      </w:pPr>
      <w:proofErr w:type="gramStart"/>
      <w:r w:rsidRPr="00FD5ACC">
        <w:rPr>
          <w:rFonts w:ascii="Times New Roman" w:eastAsia="新細明體" w:hAnsi="Times New Roman" w:cs="Times New Roman"/>
          <w:i/>
          <w:iCs/>
          <w:color w:val="1A1A1A"/>
          <w:kern w:val="0"/>
          <w:sz w:val="21"/>
          <w:szCs w:val="21"/>
        </w:rPr>
        <w:t xml:space="preserve">Schneider, W., &amp; </w:t>
      </w:r>
      <w:proofErr w:type="spellStart"/>
      <w:r w:rsidRPr="00FD5ACC">
        <w:rPr>
          <w:rFonts w:ascii="Times New Roman" w:eastAsia="新細明體" w:hAnsi="Times New Roman" w:cs="Times New Roman"/>
          <w:i/>
          <w:iCs/>
          <w:color w:val="1A1A1A"/>
          <w:kern w:val="0"/>
          <w:sz w:val="21"/>
          <w:szCs w:val="21"/>
        </w:rPr>
        <w:t>Artelt</w:t>
      </w:r>
      <w:proofErr w:type="spellEnd"/>
      <w:r w:rsidRPr="00FD5ACC">
        <w:rPr>
          <w:rFonts w:ascii="Times New Roman" w:eastAsia="新細明體" w:hAnsi="Times New Roman" w:cs="Times New Roman"/>
          <w:i/>
          <w:iCs/>
          <w:color w:val="1A1A1A"/>
          <w:kern w:val="0"/>
          <w:sz w:val="21"/>
          <w:szCs w:val="21"/>
        </w:rPr>
        <w:t>, C. </w:t>
      </w:r>
      <w:r w:rsidRPr="00FD5ACC">
        <w:rPr>
          <w:rFonts w:ascii="Times New Roman" w:eastAsia="新細明體" w:hAnsi="Times New Roman" w:cs="Times New Roman"/>
          <w:color w:val="1A1A1A"/>
          <w:kern w:val="0"/>
          <w:sz w:val="21"/>
          <w:szCs w:val="21"/>
        </w:rPr>
        <w:t>(2010)</w:t>
      </w:r>
      <w:r w:rsidRPr="00FD5ACC">
        <w:rPr>
          <w:rFonts w:ascii="Times New Roman" w:eastAsia="新細明體" w:hAnsi="Times New Roman" w:cs="Times New Roman"/>
          <w:i/>
          <w:iCs/>
          <w:color w:val="1A1A1A"/>
          <w:kern w:val="0"/>
          <w:sz w:val="21"/>
          <w:szCs w:val="21"/>
        </w:rPr>
        <w:t>.</w:t>
      </w:r>
      <w:proofErr w:type="gramEnd"/>
      <w:r w:rsidRPr="00FD5ACC">
        <w:rPr>
          <w:rFonts w:ascii="Times New Roman" w:eastAsia="新細明體" w:hAnsi="Times New Roman" w:cs="Times New Roman"/>
          <w:i/>
          <w:iCs/>
          <w:color w:val="1A1A1A"/>
          <w:kern w:val="0"/>
          <w:sz w:val="21"/>
          <w:szCs w:val="21"/>
        </w:rPr>
        <w:t xml:space="preserve"> </w:t>
      </w:r>
      <w:proofErr w:type="gramStart"/>
      <w:r w:rsidRPr="00FD5ACC">
        <w:rPr>
          <w:rFonts w:ascii="Times New Roman" w:eastAsia="新細明體" w:hAnsi="Times New Roman" w:cs="Times New Roman"/>
          <w:i/>
          <w:iCs/>
          <w:color w:val="1A1A1A"/>
          <w:kern w:val="0"/>
          <w:sz w:val="21"/>
          <w:szCs w:val="21"/>
        </w:rPr>
        <w:t>Metacognition and mathematics education.</w:t>
      </w:r>
      <w:proofErr w:type="gramEnd"/>
      <w:r w:rsidRPr="00FD5ACC">
        <w:rPr>
          <w:rFonts w:ascii="Times New Roman" w:eastAsia="新細明體" w:hAnsi="Times New Roman" w:cs="Times New Roman"/>
          <w:i/>
          <w:iCs/>
          <w:color w:val="1A1A1A"/>
          <w:kern w:val="0"/>
          <w:sz w:val="21"/>
          <w:szCs w:val="21"/>
        </w:rPr>
        <w:t xml:space="preserve"> </w:t>
      </w:r>
      <w:proofErr w:type="gramStart"/>
      <w:r w:rsidRPr="00FD5ACC">
        <w:rPr>
          <w:rFonts w:ascii="Times New Roman" w:eastAsia="新細明體" w:hAnsi="Times New Roman" w:cs="Times New Roman"/>
          <w:i/>
          <w:iCs/>
          <w:color w:val="1A1A1A"/>
          <w:kern w:val="0"/>
          <w:sz w:val="21"/>
          <w:szCs w:val="21"/>
        </w:rPr>
        <w:t>ZDM ,</w:t>
      </w:r>
      <w:proofErr w:type="gramEnd"/>
      <w:r w:rsidRPr="00FD5ACC">
        <w:rPr>
          <w:rFonts w:ascii="Times New Roman" w:eastAsia="新細明體" w:hAnsi="Times New Roman" w:cs="Times New Roman"/>
          <w:color w:val="1A1A1A"/>
          <w:kern w:val="0"/>
          <w:sz w:val="21"/>
          <w:szCs w:val="21"/>
        </w:rPr>
        <w:t> 42 (2), 149-161.</w:t>
      </w:r>
    </w:p>
    <w:p w:rsidR="00FD5ACC" w:rsidRPr="00FD5ACC" w:rsidRDefault="00FD5ACC" w:rsidP="00FD5ACC">
      <w:pPr>
        <w:widowControl/>
        <w:shd w:val="clear" w:color="auto" w:fill="FFFFFF"/>
        <w:spacing w:after="420"/>
        <w:rPr>
          <w:rFonts w:ascii="Georgia" w:eastAsia="新細明體" w:hAnsi="Georgia" w:cs="新細明體"/>
          <w:color w:val="1A1A1A"/>
          <w:kern w:val="0"/>
          <w:szCs w:val="24"/>
        </w:rPr>
      </w:pPr>
      <w:proofErr w:type="gramStart"/>
      <w:r w:rsidRPr="00FD5ACC">
        <w:rPr>
          <w:rFonts w:ascii="Times New Roman" w:eastAsia="新細明體" w:hAnsi="Times New Roman" w:cs="Times New Roman"/>
          <w:i/>
          <w:iCs/>
          <w:color w:val="1A1A1A"/>
          <w:kern w:val="0"/>
          <w:sz w:val="21"/>
          <w:szCs w:val="21"/>
        </w:rPr>
        <w:t>Wilson, J., &amp; Clarke, D. </w:t>
      </w:r>
      <w:r w:rsidRPr="00FD5ACC">
        <w:rPr>
          <w:rFonts w:ascii="Times New Roman" w:eastAsia="新細明體" w:hAnsi="Times New Roman" w:cs="Times New Roman"/>
          <w:color w:val="1A1A1A"/>
          <w:kern w:val="0"/>
          <w:sz w:val="21"/>
          <w:szCs w:val="21"/>
        </w:rPr>
        <w:t>(2004)</w:t>
      </w:r>
      <w:r w:rsidRPr="00FD5ACC">
        <w:rPr>
          <w:rFonts w:ascii="Times New Roman" w:eastAsia="新細明體" w:hAnsi="Times New Roman" w:cs="Times New Roman"/>
          <w:i/>
          <w:iCs/>
          <w:color w:val="1A1A1A"/>
          <w:kern w:val="0"/>
          <w:sz w:val="21"/>
          <w:szCs w:val="21"/>
        </w:rPr>
        <w:t>.</w:t>
      </w:r>
      <w:proofErr w:type="gramEnd"/>
      <w:r w:rsidRPr="00FD5ACC">
        <w:rPr>
          <w:rFonts w:ascii="Times New Roman" w:eastAsia="新細明體" w:hAnsi="Times New Roman" w:cs="Times New Roman"/>
          <w:i/>
          <w:iCs/>
          <w:color w:val="1A1A1A"/>
          <w:kern w:val="0"/>
          <w:sz w:val="21"/>
          <w:szCs w:val="21"/>
        </w:rPr>
        <w:t xml:space="preserve"> </w:t>
      </w:r>
      <w:proofErr w:type="gramStart"/>
      <w:r w:rsidRPr="00FD5ACC">
        <w:rPr>
          <w:rFonts w:ascii="Times New Roman" w:eastAsia="新細明體" w:hAnsi="Times New Roman" w:cs="Times New Roman"/>
          <w:i/>
          <w:iCs/>
          <w:color w:val="1A1A1A"/>
          <w:kern w:val="0"/>
          <w:sz w:val="21"/>
          <w:szCs w:val="21"/>
        </w:rPr>
        <w:t>Towards the modelling of mathematical metacognition.</w:t>
      </w:r>
      <w:proofErr w:type="gramEnd"/>
    </w:p>
    <w:p w:rsidR="00FD5ACC" w:rsidRPr="00FD5ACC" w:rsidRDefault="00FD5ACC" w:rsidP="00FD5ACC">
      <w:pPr>
        <w:widowControl/>
        <w:shd w:val="clear" w:color="auto" w:fill="FFFFFF"/>
        <w:spacing w:after="420"/>
        <w:rPr>
          <w:rFonts w:ascii="Georgia" w:eastAsia="新細明體" w:hAnsi="Georgia" w:cs="新細明體"/>
          <w:color w:val="1A1A1A"/>
          <w:kern w:val="0"/>
          <w:szCs w:val="24"/>
        </w:rPr>
      </w:pPr>
      <w:r w:rsidRPr="00FD5ACC">
        <w:rPr>
          <w:rFonts w:ascii="Times New Roman" w:eastAsia="新細明體" w:hAnsi="Times New Roman" w:cs="Times New Roman"/>
          <w:i/>
          <w:iCs/>
          <w:color w:val="1A1A1A"/>
          <w:kern w:val="0"/>
          <w:sz w:val="21"/>
          <w:szCs w:val="21"/>
        </w:rPr>
        <w:t>Mathematics Education Research Journal, </w:t>
      </w:r>
      <w:r w:rsidRPr="00FD5ACC">
        <w:rPr>
          <w:rFonts w:ascii="Times New Roman" w:eastAsia="新細明體" w:hAnsi="Times New Roman" w:cs="Times New Roman"/>
          <w:color w:val="1A1A1A"/>
          <w:kern w:val="0"/>
          <w:sz w:val="21"/>
          <w:szCs w:val="21"/>
        </w:rPr>
        <w:t>16 (2), 25-48</w:t>
      </w:r>
      <w:r w:rsidRPr="00FD5ACC">
        <w:rPr>
          <w:rFonts w:ascii="Times New Roman" w:eastAsia="新細明體" w:hAnsi="Times New Roman" w:cs="Times New Roman"/>
          <w:i/>
          <w:iCs/>
          <w:color w:val="1A1A1A"/>
          <w:kern w:val="0"/>
          <w:sz w:val="21"/>
          <w:szCs w:val="21"/>
        </w:rPr>
        <w:t>.</w:t>
      </w:r>
    </w:p>
    <w:p w:rsidR="00FD5ACC" w:rsidRPr="00FD5ACC" w:rsidRDefault="00FD5ACC" w:rsidP="00FD5ACC">
      <w:pPr>
        <w:widowControl/>
        <w:shd w:val="clear" w:color="auto" w:fill="FFFFFF"/>
        <w:spacing w:after="420"/>
        <w:rPr>
          <w:rFonts w:ascii="Georgia" w:eastAsia="新細明體" w:hAnsi="Georgia" w:cs="新細明體"/>
          <w:color w:val="1A1A1A"/>
          <w:kern w:val="0"/>
          <w:szCs w:val="24"/>
        </w:rPr>
      </w:pPr>
      <w:proofErr w:type="gramStart"/>
      <w:r w:rsidRPr="00FD5ACC">
        <w:rPr>
          <w:rFonts w:ascii="Times New Roman" w:eastAsia="新細明體" w:hAnsi="Times New Roman" w:cs="Times New Roman"/>
          <w:i/>
          <w:iCs/>
          <w:color w:val="1A1A1A"/>
          <w:kern w:val="0"/>
          <w:sz w:val="21"/>
          <w:szCs w:val="21"/>
        </w:rPr>
        <w:t xml:space="preserve">Montague, M., </w:t>
      </w:r>
      <w:proofErr w:type="spellStart"/>
      <w:r w:rsidRPr="00FD5ACC">
        <w:rPr>
          <w:rFonts w:ascii="Times New Roman" w:eastAsia="新細明體" w:hAnsi="Times New Roman" w:cs="Times New Roman"/>
          <w:i/>
          <w:iCs/>
          <w:color w:val="1A1A1A"/>
          <w:kern w:val="0"/>
          <w:sz w:val="21"/>
          <w:szCs w:val="21"/>
        </w:rPr>
        <w:t>Warger</w:t>
      </w:r>
      <w:proofErr w:type="spellEnd"/>
      <w:r w:rsidRPr="00FD5ACC">
        <w:rPr>
          <w:rFonts w:ascii="Times New Roman" w:eastAsia="新細明體" w:hAnsi="Times New Roman" w:cs="Times New Roman"/>
          <w:i/>
          <w:iCs/>
          <w:color w:val="1A1A1A"/>
          <w:kern w:val="0"/>
          <w:sz w:val="21"/>
          <w:szCs w:val="21"/>
        </w:rPr>
        <w:t>, C., &amp; Morgan, T. H.</w:t>
      </w:r>
      <w:r w:rsidRPr="00FD5ACC">
        <w:rPr>
          <w:rFonts w:ascii="Times New Roman" w:eastAsia="新細明體" w:hAnsi="Times New Roman" w:cs="Times New Roman"/>
          <w:color w:val="1A1A1A"/>
          <w:kern w:val="0"/>
          <w:sz w:val="21"/>
          <w:szCs w:val="21"/>
        </w:rPr>
        <w:t> (2000)</w:t>
      </w:r>
      <w:r w:rsidRPr="00FD5ACC">
        <w:rPr>
          <w:rFonts w:ascii="Times New Roman" w:eastAsia="新細明體" w:hAnsi="Times New Roman" w:cs="Times New Roman"/>
          <w:i/>
          <w:iCs/>
          <w:color w:val="1A1A1A"/>
          <w:kern w:val="0"/>
          <w:sz w:val="21"/>
          <w:szCs w:val="21"/>
        </w:rPr>
        <w:t>.</w:t>
      </w:r>
      <w:proofErr w:type="gramEnd"/>
      <w:r w:rsidRPr="00FD5ACC">
        <w:rPr>
          <w:rFonts w:ascii="Times New Roman" w:eastAsia="新細明體" w:hAnsi="Times New Roman" w:cs="Times New Roman"/>
          <w:i/>
          <w:iCs/>
          <w:color w:val="1A1A1A"/>
          <w:kern w:val="0"/>
          <w:sz w:val="21"/>
          <w:szCs w:val="21"/>
        </w:rPr>
        <w:t xml:space="preserve"> Solve it! </w:t>
      </w:r>
      <w:proofErr w:type="gramStart"/>
      <w:r w:rsidRPr="00FD5ACC">
        <w:rPr>
          <w:rFonts w:ascii="Times New Roman" w:eastAsia="新細明體" w:hAnsi="Times New Roman" w:cs="Times New Roman"/>
          <w:i/>
          <w:iCs/>
          <w:color w:val="1A1A1A"/>
          <w:kern w:val="0"/>
          <w:sz w:val="21"/>
          <w:szCs w:val="21"/>
        </w:rPr>
        <w:t>Strategy instruction to improve mathematical problem solving.</w:t>
      </w:r>
      <w:proofErr w:type="gramEnd"/>
      <w:r w:rsidRPr="00FD5ACC">
        <w:rPr>
          <w:rFonts w:ascii="Times New Roman" w:eastAsia="新細明體" w:hAnsi="Times New Roman" w:cs="Times New Roman"/>
          <w:i/>
          <w:iCs/>
          <w:color w:val="1A1A1A"/>
          <w:kern w:val="0"/>
          <w:sz w:val="21"/>
          <w:szCs w:val="21"/>
        </w:rPr>
        <w:t xml:space="preserve"> Learning Disabilities Research &amp; Practice,</w:t>
      </w:r>
      <w:r w:rsidRPr="00FD5ACC">
        <w:rPr>
          <w:rFonts w:ascii="Times New Roman" w:eastAsia="新細明體" w:hAnsi="Times New Roman" w:cs="Times New Roman"/>
          <w:color w:val="1A1A1A"/>
          <w:kern w:val="0"/>
          <w:sz w:val="21"/>
          <w:szCs w:val="21"/>
        </w:rPr>
        <w:t> 15 (2), 110-116</w:t>
      </w:r>
      <w:r w:rsidRPr="00FD5ACC">
        <w:rPr>
          <w:rFonts w:ascii="Times New Roman" w:eastAsia="新細明體" w:hAnsi="Times New Roman" w:cs="Times New Roman"/>
          <w:i/>
          <w:iCs/>
          <w:color w:val="1A1A1A"/>
          <w:kern w:val="0"/>
          <w:sz w:val="21"/>
          <w:szCs w:val="21"/>
        </w:rPr>
        <w:t>.</w:t>
      </w:r>
    </w:p>
    <w:p w:rsidR="00092345" w:rsidRDefault="00FD5ACC"/>
    <w:sectPr w:rsidR="0009234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ACC"/>
    <w:rsid w:val="00AD30CB"/>
    <w:rsid w:val="00E606C3"/>
    <w:rsid w:val="00FD5A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5ACC"/>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FD5AC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5ACC"/>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FD5AC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63755">
      <w:bodyDiv w:val="1"/>
      <w:marLeft w:val="0"/>
      <w:marRight w:val="0"/>
      <w:marTop w:val="0"/>
      <w:marBottom w:val="0"/>
      <w:divBdr>
        <w:top w:val="none" w:sz="0" w:space="0" w:color="auto"/>
        <w:left w:val="none" w:sz="0" w:space="0" w:color="auto"/>
        <w:bottom w:val="none" w:sz="0" w:space="0" w:color="auto"/>
        <w:right w:val="none" w:sz="0" w:space="0" w:color="auto"/>
      </w:divBdr>
      <w:divsChild>
        <w:div w:id="1141263242">
          <w:marLeft w:val="0"/>
          <w:marRight w:val="0"/>
          <w:marTop w:val="0"/>
          <w:marBottom w:val="0"/>
          <w:divBdr>
            <w:top w:val="none" w:sz="0" w:space="0" w:color="D1D1D1"/>
            <w:left w:val="none" w:sz="0" w:space="0" w:color="D1D1D1"/>
            <w:bottom w:val="none" w:sz="0" w:space="0" w:color="D1D1D1"/>
            <w:right w:val="none" w:sz="0" w:space="0" w:color="D1D1D1"/>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529</Words>
  <Characters>3021</Characters>
  <Application>Microsoft Office Word</Application>
  <DocSecurity>0</DocSecurity>
  <Lines>25</Lines>
  <Paragraphs>7</Paragraphs>
  <ScaleCrop>false</ScaleCrop>
  <Company/>
  <LinksUpToDate>false</LinksUpToDate>
  <CharactersWithSpaces>3543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chimei07</dc:creator>
  <cp:lastModifiedBy>chimei07</cp:lastModifiedBy>
  <cp:revision>1</cp:revision>
  <dcterms:created xsi:type="dcterms:W3CDTF">2023-12-19T00:54:00Z</dcterms:created>
  <dcterms:modified xsi:type="dcterms:W3CDTF">2023-12-19T00:56:00Z</dcterms:modified>
</cp:coreProperties>
</file>